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E8BE" w14:textId="77777777" w:rsidR="00A91503" w:rsidRPr="005405D2" w:rsidRDefault="00A91503" w:rsidP="00A91503">
      <w:pPr>
        <w:tabs>
          <w:tab w:val="num" w:pos="720"/>
        </w:tabs>
        <w:spacing w:before="100" w:beforeAutospacing="1" w:after="100" w:afterAutospacing="1" w:line="240" w:lineRule="auto"/>
        <w:ind w:left="284"/>
        <w:jc w:val="both"/>
        <w:rPr>
          <w:rFonts w:cs="Arial"/>
          <w:szCs w:val="28"/>
          <w:lang w:val="ru-RU"/>
        </w:rPr>
      </w:pPr>
      <w:r w:rsidRPr="00A91503">
        <w:rPr>
          <w:rFonts w:cs="Arial"/>
          <w:b/>
          <w:bCs/>
          <w:szCs w:val="28"/>
          <w:lang w:val="ru-RU"/>
        </w:rPr>
        <w:t>Қабылдаушы:</w:t>
      </w:r>
      <w:r w:rsidRPr="00A91503">
        <w:rPr>
          <w:rFonts w:cs="Arial"/>
          <w:szCs w:val="28"/>
          <w:lang w:val="ru-RU"/>
        </w:rPr>
        <w:t xml:space="preserve"> Қазақстан </w:t>
      </w:r>
      <w:r w:rsidRPr="005405D2">
        <w:rPr>
          <w:rFonts w:cs="Arial"/>
          <w:szCs w:val="28"/>
          <w:lang w:val="ru-RU"/>
        </w:rPr>
        <w:t>Республикасының Энергетика министрлігі</w:t>
      </w:r>
    </w:p>
    <w:p w14:paraId="621B964A" w14:textId="69673B10" w:rsidR="00A91503" w:rsidRPr="005405D2" w:rsidRDefault="00A91503" w:rsidP="00A91503">
      <w:pPr>
        <w:tabs>
          <w:tab w:val="num" w:pos="720"/>
        </w:tabs>
        <w:spacing w:before="100" w:beforeAutospacing="1" w:after="100" w:afterAutospacing="1" w:line="240" w:lineRule="auto"/>
        <w:ind w:left="284"/>
        <w:jc w:val="both"/>
        <w:rPr>
          <w:rFonts w:cs="Arial"/>
          <w:szCs w:val="28"/>
          <w:lang w:val="ru-RU"/>
        </w:rPr>
      </w:pPr>
      <w:r w:rsidRPr="005405D2">
        <w:rPr>
          <w:rFonts w:cs="Arial"/>
          <w:b/>
          <w:bCs/>
          <w:szCs w:val="28"/>
          <w:lang w:val="ru-RU"/>
        </w:rPr>
        <w:t>Авторының аты-жөні мен лауазымы:</w:t>
      </w:r>
      <w:r w:rsidRPr="005405D2">
        <w:rPr>
          <w:rFonts w:cs="Arial"/>
          <w:szCs w:val="28"/>
          <w:lang w:val="ru-RU"/>
        </w:rPr>
        <w:t xml:space="preserve"> Ахметжанова Таттыгүл Берікқызы – Солтүстік Қазақстан облысы «Қызылжар аудандық сәулет, құрылыс, ТКШ, жолаушылар көлігі және автомобиль жолдары бөлімі» КММ-нің ТКШ, </w:t>
      </w:r>
      <w:r w:rsidR="00E2127B" w:rsidRPr="005405D2">
        <w:rPr>
          <w:rFonts w:cs="Arial"/>
          <w:szCs w:val="28"/>
          <w:lang w:val="ru-RU"/>
        </w:rPr>
        <w:t>ЖК</w:t>
      </w:r>
      <w:r w:rsidRPr="005405D2">
        <w:rPr>
          <w:rFonts w:cs="Arial"/>
          <w:szCs w:val="28"/>
          <w:lang w:val="ru-RU"/>
        </w:rPr>
        <w:t xml:space="preserve"> және А</w:t>
      </w:r>
      <w:r w:rsidR="00E2127B" w:rsidRPr="005405D2">
        <w:rPr>
          <w:rFonts w:cs="Arial"/>
          <w:szCs w:val="28"/>
          <w:lang w:val="ru-RU"/>
        </w:rPr>
        <w:t xml:space="preserve">Ж </w:t>
      </w:r>
      <w:r w:rsidRPr="005405D2">
        <w:rPr>
          <w:rFonts w:cs="Arial"/>
          <w:szCs w:val="28"/>
          <w:lang w:val="ru-RU"/>
        </w:rPr>
        <w:t>бойынша бас маманы</w:t>
      </w:r>
    </w:p>
    <w:p w14:paraId="576189D8" w14:textId="77777777" w:rsidR="00A91503" w:rsidRPr="005405D2" w:rsidRDefault="00A91503" w:rsidP="00A91503">
      <w:pPr>
        <w:tabs>
          <w:tab w:val="num" w:pos="720"/>
        </w:tabs>
        <w:spacing w:before="100" w:beforeAutospacing="1" w:after="100" w:afterAutospacing="1" w:line="240" w:lineRule="auto"/>
        <w:ind w:left="284"/>
        <w:jc w:val="both"/>
        <w:rPr>
          <w:rFonts w:cs="Arial"/>
          <w:szCs w:val="28"/>
          <w:lang w:val="ru-RU"/>
        </w:rPr>
      </w:pPr>
      <w:r w:rsidRPr="005405D2">
        <w:rPr>
          <w:rFonts w:cs="Arial"/>
          <w:b/>
          <w:bCs/>
          <w:szCs w:val="28"/>
          <w:lang w:val="ru-RU"/>
        </w:rPr>
        <w:t>Күні:</w:t>
      </w:r>
      <w:r w:rsidRPr="005405D2">
        <w:rPr>
          <w:rFonts w:cs="Arial"/>
          <w:szCs w:val="28"/>
          <w:lang w:val="ru-RU"/>
        </w:rPr>
        <w:t xml:space="preserve"> 2025 жылғы 24 қыркүйек</w:t>
      </w:r>
    </w:p>
    <w:p w14:paraId="53F21210" w14:textId="53488EBD" w:rsidR="00A91503" w:rsidRPr="005405D2" w:rsidRDefault="00A91503" w:rsidP="00A91503">
      <w:pPr>
        <w:tabs>
          <w:tab w:val="num" w:pos="720"/>
        </w:tabs>
        <w:spacing w:before="100" w:beforeAutospacing="1" w:after="100" w:afterAutospacing="1" w:line="240" w:lineRule="auto"/>
        <w:ind w:left="284"/>
        <w:jc w:val="both"/>
        <w:rPr>
          <w:rFonts w:cs="Arial"/>
          <w:szCs w:val="28"/>
          <w:lang w:val="ru-RU"/>
        </w:rPr>
      </w:pPr>
    </w:p>
    <w:p w14:paraId="08ABCD8D" w14:textId="77777777" w:rsidR="00A91503" w:rsidRPr="005405D2" w:rsidRDefault="00A91503" w:rsidP="00A91503">
      <w:pPr>
        <w:tabs>
          <w:tab w:val="num" w:pos="720"/>
        </w:tabs>
        <w:spacing w:before="100" w:beforeAutospacing="1" w:after="100" w:afterAutospacing="1" w:line="240" w:lineRule="auto"/>
        <w:ind w:left="284"/>
        <w:jc w:val="center"/>
        <w:rPr>
          <w:rFonts w:cs="Arial"/>
          <w:b/>
          <w:bCs/>
          <w:szCs w:val="28"/>
          <w:lang w:val="ru-RU"/>
        </w:rPr>
      </w:pPr>
      <w:r w:rsidRPr="005405D2">
        <w:rPr>
          <w:rFonts w:cs="Arial"/>
          <w:b/>
          <w:bCs/>
          <w:szCs w:val="28"/>
          <w:lang w:val="ru-RU"/>
        </w:rPr>
        <w:t>АНАЛИТИКАЛЫҚ АНЫҚТАМА</w:t>
      </w:r>
    </w:p>
    <w:p w14:paraId="753083FB" w14:textId="77777777" w:rsidR="006F7B5B" w:rsidRDefault="00A91503" w:rsidP="006F7B5B">
      <w:pPr>
        <w:tabs>
          <w:tab w:val="num" w:pos="720"/>
        </w:tabs>
        <w:spacing w:before="100" w:beforeAutospacing="1" w:after="100" w:afterAutospacing="1" w:line="240" w:lineRule="auto"/>
        <w:ind w:left="284"/>
        <w:jc w:val="both"/>
        <w:rPr>
          <w:rFonts w:cs="Arial"/>
          <w:szCs w:val="28"/>
          <w:lang w:val="ru-RU"/>
        </w:rPr>
      </w:pPr>
      <w:r w:rsidRPr="005405D2">
        <w:rPr>
          <w:rFonts w:cs="Arial"/>
          <w:b/>
          <w:bCs/>
          <w:szCs w:val="28"/>
          <w:lang w:val="ru-RU"/>
        </w:rPr>
        <w:t>Тақырыбы</w:t>
      </w:r>
      <w:r w:rsidRPr="005405D2">
        <w:rPr>
          <w:rFonts w:cs="Arial"/>
          <w:szCs w:val="28"/>
          <w:lang w:val="ru-RU"/>
        </w:rPr>
        <w:t>: Солтүстік Қазақстан облысы Қызылжар ауданы қазандықтарының жағдайы және жаңғыртылуы</w:t>
      </w:r>
    </w:p>
    <w:p w14:paraId="7E3F9893" w14:textId="5F4E2E96" w:rsidR="006F7B5B" w:rsidRPr="006F7B5B" w:rsidRDefault="004A7056" w:rsidP="006F7B5B">
      <w:pPr>
        <w:tabs>
          <w:tab w:val="num" w:pos="720"/>
        </w:tabs>
        <w:spacing w:before="100" w:beforeAutospacing="1" w:after="100" w:afterAutospacing="1" w:line="240" w:lineRule="auto"/>
        <w:ind w:left="284"/>
        <w:jc w:val="both"/>
        <w:rPr>
          <w:rFonts w:cs="Arial"/>
          <w:szCs w:val="28"/>
          <w:lang w:val="ru-RU"/>
        </w:rPr>
      </w:pPr>
      <w:r>
        <w:rPr>
          <w:rFonts w:eastAsia="Times New Roman" w:cs="Arial"/>
          <w:b/>
          <w:bCs/>
          <w:szCs w:val="28"/>
          <w:lang w:val="ru-RU" w:eastAsia="ru-RU"/>
        </w:rPr>
        <w:t>Нег</w:t>
      </w:r>
      <w:r>
        <w:rPr>
          <w:rFonts w:eastAsia="Times New Roman" w:cs="Arial"/>
          <w:b/>
          <w:bCs/>
          <w:szCs w:val="28"/>
          <w:lang w:val="kk-KZ" w:eastAsia="ru-RU"/>
        </w:rPr>
        <w:t>ізгі</w:t>
      </w:r>
      <w:r w:rsidR="006F7B5B" w:rsidRPr="006F7B5B">
        <w:rPr>
          <w:rFonts w:eastAsia="Times New Roman" w:cs="Arial"/>
          <w:b/>
          <w:bCs/>
          <w:szCs w:val="28"/>
          <w:lang w:val="ru-RU" w:eastAsia="ru-RU"/>
        </w:rPr>
        <w:t xml:space="preserve"> сөздер:</w:t>
      </w:r>
      <w:r w:rsidR="006F7B5B" w:rsidRPr="006F7B5B">
        <w:rPr>
          <w:rFonts w:eastAsia="Times New Roman" w:cs="Arial"/>
          <w:szCs w:val="28"/>
          <w:lang w:val="ru-RU" w:eastAsia="ru-RU"/>
        </w:rPr>
        <w:t xml:space="preserve">Қазандықтар </w:t>
      </w:r>
      <w:r w:rsidR="006F7B5B" w:rsidRPr="006F7B5B">
        <w:rPr>
          <w:rFonts w:cs="Arial"/>
          <w:szCs w:val="28"/>
          <w:lang w:val="ru-RU"/>
        </w:rPr>
        <w:t>,</w:t>
      </w:r>
      <w:r w:rsidR="006F7B5B" w:rsidRPr="006F7B5B">
        <w:rPr>
          <w:rFonts w:eastAsia="Times New Roman" w:cs="Arial"/>
          <w:szCs w:val="28"/>
          <w:lang w:val="ru-RU" w:eastAsia="ru-RU"/>
        </w:rPr>
        <w:t xml:space="preserve">жылумен қамтамасыз ету, жабдықтың тозуы, модернизациялау, энергиялық тиімділік, жылу желілері, автоматтандыру, сорғы жабдығы, цифрландыру </w:t>
      </w:r>
    </w:p>
    <w:p w14:paraId="6B37EE67" w14:textId="77777777" w:rsidR="00A91503" w:rsidRPr="005405D2" w:rsidRDefault="00A91503" w:rsidP="00A91503">
      <w:pPr>
        <w:tabs>
          <w:tab w:val="num" w:pos="720"/>
        </w:tabs>
        <w:spacing w:before="100" w:beforeAutospacing="1" w:after="100" w:afterAutospacing="1" w:line="240" w:lineRule="auto"/>
        <w:ind w:left="284"/>
        <w:jc w:val="center"/>
        <w:rPr>
          <w:rFonts w:cs="Arial"/>
          <w:b/>
          <w:bCs/>
          <w:szCs w:val="28"/>
          <w:lang w:val="ru-RU"/>
        </w:rPr>
      </w:pPr>
      <w:r w:rsidRPr="005405D2">
        <w:rPr>
          <w:rFonts w:cs="Arial"/>
          <w:b/>
          <w:bCs/>
          <w:szCs w:val="28"/>
          <w:lang w:val="ru-RU"/>
        </w:rPr>
        <w:t>Кіріспе</w:t>
      </w:r>
    </w:p>
    <w:p w14:paraId="5BC1E039" w14:textId="77777777" w:rsidR="00A91503" w:rsidRPr="005405D2" w:rsidRDefault="00A91503" w:rsidP="00A91503">
      <w:pPr>
        <w:tabs>
          <w:tab w:val="num" w:pos="720"/>
        </w:tabs>
        <w:spacing w:before="100" w:beforeAutospacing="1" w:after="100" w:afterAutospacing="1" w:line="240" w:lineRule="auto"/>
        <w:ind w:left="284"/>
        <w:jc w:val="both"/>
        <w:rPr>
          <w:rFonts w:cs="Arial"/>
          <w:szCs w:val="28"/>
          <w:lang w:val="ru-RU"/>
        </w:rPr>
      </w:pPr>
      <w:r w:rsidRPr="005405D2">
        <w:rPr>
          <w:rFonts w:cs="Arial"/>
          <w:szCs w:val="28"/>
          <w:lang w:val="ru-RU"/>
        </w:rPr>
        <w:t>Қазандықтар өңірдің жылумен қамтамасыз ету жүйесінің негізгі элементі болып табылады. Олардың үзіліссіз жұмысы жылыту маусымының тұрақты өтуін қамтамасыз етіп, халықтың өмір сүру сапасына тікелей әсер етеді. Солтүстік Қазақстан облысы қатал климатымен ерекшеленеді, бұл өз кезегінде қазандықтардың сенімділігі мен энергия тиімділігіне жоғары талаптар қояды.</w:t>
      </w:r>
    </w:p>
    <w:p w14:paraId="37C3DFD2" w14:textId="77777777" w:rsidR="00A91503" w:rsidRPr="005405D2" w:rsidRDefault="00A91503" w:rsidP="00A91503">
      <w:pPr>
        <w:tabs>
          <w:tab w:val="num" w:pos="720"/>
        </w:tabs>
        <w:spacing w:before="100" w:beforeAutospacing="1" w:after="100" w:afterAutospacing="1" w:line="240" w:lineRule="auto"/>
        <w:ind w:left="284"/>
        <w:jc w:val="both"/>
        <w:rPr>
          <w:rFonts w:cs="Arial"/>
          <w:szCs w:val="28"/>
          <w:lang w:val="ru-RU"/>
        </w:rPr>
      </w:pPr>
      <w:r w:rsidRPr="005405D2">
        <w:rPr>
          <w:rFonts w:cs="Arial"/>
          <w:szCs w:val="28"/>
          <w:lang w:val="ru-RU"/>
        </w:rPr>
        <w:t>Жабдықтардың тозуы, отын бағасының өсуі және "жасыл" экономиканы дамыту қажеттілігі жағдайында жылумен қамтамасыз ету жүйелерін жаңғырту мемлекеттік және өңірлік саясаттың басты бағыттарының біріне айналуда. Бұл мәселе Қызылжар ауданы сияқты қазандықтары ескірген өңірлерде ерекше өзектілікке ие. Аудандағы жылумен қамту негізінен екі қазандық арқылы жүзеге асырылады.</w:t>
      </w:r>
    </w:p>
    <w:p w14:paraId="706E5174" w14:textId="7D3970DB" w:rsidR="00A91503" w:rsidRPr="005405D2" w:rsidRDefault="00A91503" w:rsidP="00A91503">
      <w:pPr>
        <w:tabs>
          <w:tab w:val="num" w:pos="720"/>
        </w:tabs>
        <w:spacing w:before="100" w:beforeAutospacing="1" w:after="100" w:afterAutospacing="1" w:line="240" w:lineRule="auto"/>
        <w:ind w:left="284"/>
        <w:jc w:val="both"/>
        <w:rPr>
          <w:rFonts w:cs="Arial"/>
          <w:szCs w:val="28"/>
          <w:lang w:val="ru-RU"/>
        </w:rPr>
      </w:pPr>
    </w:p>
    <w:p w14:paraId="5337CAFF" w14:textId="77777777" w:rsidR="00A91503" w:rsidRPr="005405D2" w:rsidRDefault="00A91503" w:rsidP="00A91503">
      <w:pPr>
        <w:tabs>
          <w:tab w:val="num" w:pos="720"/>
        </w:tabs>
        <w:spacing w:before="100" w:beforeAutospacing="1" w:after="100" w:afterAutospacing="1" w:line="240" w:lineRule="auto"/>
        <w:ind w:left="284"/>
        <w:jc w:val="center"/>
        <w:rPr>
          <w:rFonts w:cs="Arial"/>
          <w:b/>
          <w:bCs/>
          <w:szCs w:val="28"/>
          <w:lang w:val="ru-RU"/>
        </w:rPr>
      </w:pPr>
      <w:r w:rsidRPr="005405D2">
        <w:rPr>
          <w:rFonts w:cs="Arial"/>
          <w:b/>
          <w:bCs/>
          <w:szCs w:val="28"/>
          <w:lang w:val="ru-RU"/>
        </w:rPr>
        <w:t>Зерттеу әдістері</w:t>
      </w:r>
    </w:p>
    <w:p w14:paraId="1E737C38" w14:textId="77777777" w:rsidR="00A91503" w:rsidRPr="005405D2" w:rsidRDefault="00A91503" w:rsidP="00A91503">
      <w:pPr>
        <w:tabs>
          <w:tab w:val="num" w:pos="720"/>
        </w:tabs>
        <w:spacing w:before="100" w:beforeAutospacing="1" w:after="100" w:afterAutospacing="1" w:line="240" w:lineRule="auto"/>
        <w:ind w:left="284"/>
        <w:jc w:val="both"/>
        <w:rPr>
          <w:rFonts w:cs="Arial"/>
          <w:szCs w:val="28"/>
          <w:lang w:val="ru-RU"/>
        </w:rPr>
      </w:pPr>
      <w:r w:rsidRPr="005405D2">
        <w:rPr>
          <w:rFonts w:cs="Arial"/>
          <w:szCs w:val="28"/>
          <w:lang w:val="ru-RU"/>
        </w:rPr>
        <w:t>Аналитикалық анықтаманы дайындау барысында келесі әдістер қолданылды:</w:t>
      </w:r>
    </w:p>
    <w:p w14:paraId="4F71332E" w14:textId="77777777" w:rsidR="00A91503" w:rsidRPr="005405D2" w:rsidRDefault="00A91503" w:rsidP="00A91503">
      <w:pPr>
        <w:spacing w:before="100" w:beforeAutospacing="1" w:after="100" w:afterAutospacing="1" w:line="240" w:lineRule="auto"/>
        <w:ind w:left="284"/>
        <w:jc w:val="both"/>
        <w:rPr>
          <w:rFonts w:cs="Arial"/>
          <w:szCs w:val="28"/>
          <w:lang w:val="ru-RU"/>
        </w:rPr>
      </w:pPr>
      <w:r w:rsidRPr="005405D2">
        <w:rPr>
          <w:rFonts w:cs="Arial"/>
          <w:szCs w:val="28"/>
          <w:lang w:val="ru-RU"/>
        </w:rPr>
        <w:lastRenderedPageBreak/>
        <w:t>Нормативтік-салалық ақпаратты талдау – ҚР Энергетика министрлігі, СҚО әкімдігі және «Қызылжар-ТКШ» ЖШС деректерін зерттеу.</w:t>
      </w:r>
    </w:p>
    <w:p w14:paraId="44C54673" w14:textId="77777777" w:rsidR="00A91503" w:rsidRPr="005405D2" w:rsidRDefault="00A91503" w:rsidP="00A91503">
      <w:pPr>
        <w:spacing w:before="100" w:beforeAutospacing="1" w:after="100" w:afterAutospacing="1" w:line="240" w:lineRule="auto"/>
        <w:ind w:left="284"/>
        <w:jc w:val="both"/>
        <w:rPr>
          <w:rFonts w:cs="Arial"/>
          <w:szCs w:val="28"/>
          <w:lang w:val="ru-RU"/>
        </w:rPr>
      </w:pPr>
      <w:r w:rsidRPr="005405D2">
        <w:rPr>
          <w:rFonts w:cs="Arial"/>
          <w:szCs w:val="28"/>
          <w:lang w:val="ru-RU"/>
        </w:rPr>
        <w:t>Халықаралық тәжірибені контент-талдау – ұқсас климаттық жағдайлары бар елдердегі қазандықтарды жаңғырту бойынша табысты мысалдарды зерттеу.</w:t>
      </w:r>
    </w:p>
    <w:p w14:paraId="5F2C8257" w14:textId="77777777" w:rsidR="00A91503" w:rsidRPr="005405D2" w:rsidRDefault="00A91503" w:rsidP="00A91503">
      <w:pPr>
        <w:spacing w:before="100" w:beforeAutospacing="1" w:after="100" w:afterAutospacing="1" w:line="240" w:lineRule="auto"/>
        <w:ind w:left="284"/>
        <w:jc w:val="both"/>
        <w:rPr>
          <w:rFonts w:cs="Arial"/>
          <w:szCs w:val="28"/>
          <w:lang w:val="ru-RU"/>
        </w:rPr>
      </w:pPr>
      <w:r w:rsidRPr="005405D2">
        <w:rPr>
          <w:rFonts w:cs="Arial"/>
          <w:szCs w:val="28"/>
          <w:lang w:val="ru-RU"/>
        </w:rPr>
        <w:t>Салыстырмалы талдау – СҚО жылу жүйесінің қазіргі жағдайын шетелдік үлгілермен салыстыру.</w:t>
      </w:r>
    </w:p>
    <w:p w14:paraId="49913845" w14:textId="77777777" w:rsidR="00A91503" w:rsidRPr="005405D2" w:rsidRDefault="00A91503" w:rsidP="00A91503">
      <w:pPr>
        <w:spacing w:before="100" w:beforeAutospacing="1" w:after="100" w:afterAutospacing="1" w:line="240" w:lineRule="auto"/>
        <w:ind w:left="284"/>
        <w:jc w:val="both"/>
        <w:rPr>
          <w:rFonts w:cs="Arial"/>
          <w:szCs w:val="28"/>
          <w:lang w:val="ru-RU"/>
        </w:rPr>
      </w:pPr>
      <w:r w:rsidRPr="005405D2">
        <w:rPr>
          <w:rFonts w:cs="Arial"/>
          <w:szCs w:val="28"/>
          <w:lang w:val="ru-RU"/>
        </w:rPr>
        <w:t>Статистикалық талдау – ашық деректер негізінде инвестициялардың динамикасын, жабдықтардың тозу деңгейін және энергия шығындарын бағалау.</w:t>
      </w:r>
    </w:p>
    <w:p w14:paraId="632881C9" w14:textId="67C8E04D" w:rsidR="00A91503" w:rsidRPr="005405D2" w:rsidRDefault="00A91503" w:rsidP="00A91503">
      <w:pPr>
        <w:tabs>
          <w:tab w:val="num" w:pos="720"/>
        </w:tabs>
        <w:spacing w:before="100" w:beforeAutospacing="1" w:after="100" w:afterAutospacing="1" w:line="240" w:lineRule="auto"/>
        <w:ind w:left="284"/>
        <w:jc w:val="both"/>
        <w:rPr>
          <w:rFonts w:cs="Arial"/>
          <w:szCs w:val="28"/>
          <w:lang w:val="ru-RU"/>
        </w:rPr>
      </w:pPr>
    </w:p>
    <w:p w14:paraId="2407EA3E" w14:textId="77777777" w:rsidR="00A91503" w:rsidRPr="005405D2" w:rsidRDefault="00A91503" w:rsidP="00A91503">
      <w:pPr>
        <w:tabs>
          <w:tab w:val="num" w:pos="720"/>
        </w:tabs>
        <w:spacing w:before="100" w:beforeAutospacing="1" w:after="100" w:afterAutospacing="1" w:line="240" w:lineRule="auto"/>
        <w:ind w:left="284"/>
        <w:jc w:val="center"/>
        <w:rPr>
          <w:rFonts w:cs="Arial"/>
          <w:b/>
          <w:bCs/>
          <w:szCs w:val="28"/>
          <w:lang w:val="ru-RU"/>
        </w:rPr>
      </w:pPr>
      <w:r w:rsidRPr="005405D2">
        <w:rPr>
          <w:rFonts w:cs="Arial"/>
          <w:b/>
          <w:bCs/>
          <w:szCs w:val="28"/>
          <w:lang w:val="ru-RU"/>
        </w:rPr>
        <w:t>Негізгі бөлім</w:t>
      </w:r>
    </w:p>
    <w:p w14:paraId="5EB2076A" w14:textId="77777777" w:rsidR="00A91503" w:rsidRPr="005405D2" w:rsidRDefault="00A91503" w:rsidP="00A91503">
      <w:pPr>
        <w:tabs>
          <w:tab w:val="num" w:pos="720"/>
        </w:tabs>
        <w:spacing w:before="100" w:beforeAutospacing="1" w:after="100" w:afterAutospacing="1" w:line="240" w:lineRule="auto"/>
        <w:ind w:left="284"/>
        <w:jc w:val="both"/>
        <w:rPr>
          <w:rFonts w:cs="Arial"/>
          <w:szCs w:val="28"/>
          <w:lang w:val="ru-RU"/>
        </w:rPr>
      </w:pPr>
      <w:r w:rsidRPr="005405D2">
        <w:rPr>
          <w:rFonts w:cs="Arial"/>
          <w:szCs w:val="28"/>
          <w:lang w:val="ru-RU"/>
        </w:rPr>
        <w:t>Облыс аумағында қуаттылығы әртүрлі 466-дан астам автономды қазандық жұмыс істейді. Қазандықтардың 60%-дан астамы нормативтік пайдалану мерзімінен асып кеткен. Көптеген жабдықтар көмірмен жұмыс істейді, бұл шығындарды арттырып, экологияға кері әсерін тигізеді.</w:t>
      </w:r>
    </w:p>
    <w:p w14:paraId="6ED364DE" w14:textId="77777777" w:rsidR="00A91503" w:rsidRPr="005405D2" w:rsidRDefault="00A91503" w:rsidP="00A91503">
      <w:pPr>
        <w:tabs>
          <w:tab w:val="num" w:pos="720"/>
        </w:tabs>
        <w:spacing w:before="100" w:beforeAutospacing="1" w:after="100" w:afterAutospacing="1" w:line="240" w:lineRule="auto"/>
        <w:ind w:left="284"/>
        <w:jc w:val="both"/>
        <w:rPr>
          <w:rFonts w:cs="Arial"/>
          <w:szCs w:val="28"/>
          <w:lang w:val="ru-RU"/>
        </w:rPr>
      </w:pPr>
      <w:r w:rsidRPr="005405D2">
        <w:rPr>
          <w:rFonts w:cs="Arial"/>
          <w:szCs w:val="28"/>
          <w:lang w:val="ru-RU"/>
        </w:rPr>
        <w:t>Қызылжар ауданы аумағында жылумен қамтамасыз ету «Қызылжар-ТКШ» ЖШС арқылы Бескөл және Петерфельд ауылдарындағы екі қазандық есебінен жүзеге асырылады. Қазіргі таңда бұл кәсіпорындар тұрақты жұмыс істеп тұр, алайда олардың физикалық және моральдық тозу деңгейі жоғары, бұл қызмет тиімділігін төмендетіп, қызмет көрсету шығындарын арттырады және жылу энергиясының жоғалуына алып келеді.</w:t>
      </w:r>
    </w:p>
    <w:p w14:paraId="3ED1800D" w14:textId="77777777" w:rsidR="00A91503" w:rsidRPr="005405D2" w:rsidRDefault="00A91503" w:rsidP="00A91503">
      <w:pPr>
        <w:tabs>
          <w:tab w:val="num" w:pos="720"/>
        </w:tabs>
        <w:spacing w:before="100" w:beforeAutospacing="1" w:after="100" w:afterAutospacing="1" w:line="240" w:lineRule="auto"/>
        <w:ind w:left="284"/>
        <w:jc w:val="both"/>
        <w:rPr>
          <w:rFonts w:cs="Arial"/>
          <w:szCs w:val="28"/>
          <w:lang w:val="ru-RU"/>
        </w:rPr>
      </w:pPr>
      <w:r w:rsidRPr="005405D2">
        <w:rPr>
          <w:rFonts w:cs="Arial"/>
          <w:szCs w:val="28"/>
          <w:lang w:val="ru-RU"/>
        </w:rPr>
        <w:t>Инвестициялардың жеткіліксіздігі қазандықтарды ауыстыруға, сорғы жабдықтарын жаңғыртуға және процестерді автоматтандыруға мүмкіндік бермейді.</w:t>
      </w:r>
    </w:p>
    <w:p w14:paraId="062A3FAE" w14:textId="2051EA67" w:rsidR="00A91503" w:rsidRPr="005405D2" w:rsidRDefault="00A91503" w:rsidP="00A91503">
      <w:pPr>
        <w:tabs>
          <w:tab w:val="num" w:pos="720"/>
        </w:tabs>
        <w:spacing w:before="100" w:beforeAutospacing="1" w:after="100" w:afterAutospacing="1" w:line="240" w:lineRule="auto"/>
        <w:ind w:left="284"/>
        <w:jc w:val="both"/>
        <w:rPr>
          <w:rFonts w:cs="Arial"/>
          <w:szCs w:val="28"/>
          <w:lang w:val="ru-RU"/>
        </w:rPr>
      </w:pPr>
    </w:p>
    <w:p w14:paraId="1DD9983B" w14:textId="77777777" w:rsidR="00A91503" w:rsidRPr="005405D2" w:rsidRDefault="00A91503" w:rsidP="00A91503">
      <w:pPr>
        <w:tabs>
          <w:tab w:val="num" w:pos="720"/>
        </w:tabs>
        <w:spacing w:before="100" w:beforeAutospacing="1" w:after="100" w:afterAutospacing="1" w:line="240" w:lineRule="auto"/>
        <w:ind w:left="284"/>
        <w:jc w:val="center"/>
        <w:rPr>
          <w:rFonts w:cs="Arial"/>
          <w:b/>
          <w:bCs/>
          <w:szCs w:val="28"/>
          <w:lang w:val="ru-RU"/>
        </w:rPr>
      </w:pPr>
      <w:r w:rsidRPr="005405D2">
        <w:rPr>
          <w:rFonts w:cs="Arial"/>
          <w:b/>
          <w:bCs/>
          <w:szCs w:val="28"/>
          <w:lang w:val="ru-RU"/>
        </w:rPr>
        <w:t>Негізгі мәселелер</w:t>
      </w:r>
    </w:p>
    <w:p w14:paraId="3FB1D4BE" w14:textId="77777777" w:rsidR="00A91503" w:rsidRPr="005405D2" w:rsidRDefault="00A91503" w:rsidP="0058221E">
      <w:pPr>
        <w:spacing w:before="100" w:beforeAutospacing="1" w:after="100" w:afterAutospacing="1" w:line="240" w:lineRule="auto"/>
        <w:ind w:left="360"/>
        <w:jc w:val="both"/>
        <w:rPr>
          <w:rFonts w:cs="Arial"/>
          <w:szCs w:val="28"/>
          <w:lang w:val="ru-RU"/>
        </w:rPr>
      </w:pPr>
      <w:r w:rsidRPr="005405D2">
        <w:rPr>
          <w:rFonts w:cs="Arial"/>
          <w:szCs w:val="28"/>
          <w:lang w:val="ru-RU"/>
        </w:rPr>
        <w:t>Техникалық тозудың жоғары деңгейі – апаттылықтың өсуі және жөндеу шығындарының артуы.</w:t>
      </w:r>
    </w:p>
    <w:p w14:paraId="243B578A" w14:textId="77777777" w:rsidR="00A91503" w:rsidRPr="005405D2" w:rsidRDefault="00A91503" w:rsidP="0058221E">
      <w:pPr>
        <w:spacing w:before="100" w:beforeAutospacing="1" w:after="100" w:afterAutospacing="1" w:line="240" w:lineRule="auto"/>
        <w:ind w:left="360"/>
        <w:jc w:val="both"/>
        <w:rPr>
          <w:rFonts w:cs="Arial"/>
          <w:szCs w:val="28"/>
          <w:lang w:val="ru-RU"/>
        </w:rPr>
      </w:pPr>
      <w:r w:rsidRPr="005405D2">
        <w:rPr>
          <w:rFonts w:cs="Arial"/>
          <w:szCs w:val="28"/>
          <w:lang w:val="ru-RU"/>
        </w:rPr>
        <w:t>Энергия тиімділігінің төмендігі – отын шығыны мен жылу жоғалтудың артуы.</w:t>
      </w:r>
    </w:p>
    <w:p w14:paraId="139A0CCC" w14:textId="77777777" w:rsidR="00A91503" w:rsidRPr="005405D2" w:rsidRDefault="00A91503" w:rsidP="0058221E">
      <w:pPr>
        <w:spacing w:before="100" w:beforeAutospacing="1" w:after="100" w:afterAutospacing="1" w:line="240" w:lineRule="auto"/>
        <w:ind w:left="360"/>
        <w:jc w:val="both"/>
        <w:rPr>
          <w:rFonts w:cs="Arial"/>
          <w:szCs w:val="28"/>
          <w:lang w:val="ru-RU"/>
        </w:rPr>
      </w:pPr>
      <w:r w:rsidRPr="005405D2">
        <w:rPr>
          <w:rFonts w:cs="Arial"/>
          <w:szCs w:val="28"/>
          <w:lang w:val="ru-RU"/>
        </w:rPr>
        <w:lastRenderedPageBreak/>
        <w:t>Экологиялық жүктеме – көмірқышқыл газының көп мөлшерде шығарылуы.</w:t>
      </w:r>
    </w:p>
    <w:p w14:paraId="17E9A269" w14:textId="77777777" w:rsidR="00A91503" w:rsidRPr="005405D2" w:rsidRDefault="00A91503" w:rsidP="0058221E">
      <w:pPr>
        <w:spacing w:before="100" w:beforeAutospacing="1" w:after="100" w:afterAutospacing="1" w:line="240" w:lineRule="auto"/>
        <w:ind w:firstLine="284"/>
        <w:jc w:val="both"/>
        <w:rPr>
          <w:rFonts w:cs="Arial"/>
          <w:szCs w:val="28"/>
          <w:lang w:val="ru-RU"/>
        </w:rPr>
      </w:pPr>
      <w:r w:rsidRPr="005405D2">
        <w:rPr>
          <w:rFonts w:cs="Arial"/>
          <w:szCs w:val="28"/>
          <w:lang w:val="ru-RU"/>
        </w:rPr>
        <w:t>Кадр тапшылығы – білікті операторлар мен инженерлердің жетіспеушілігі.</w:t>
      </w:r>
    </w:p>
    <w:p w14:paraId="790867BD" w14:textId="77777777" w:rsidR="00A91503" w:rsidRPr="005405D2" w:rsidRDefault="00A91503" w:rsidP="00A91503">
      <w:pPr>
        <w:spacing w:before="100" w:beforeAutospacing="1" w:after="100" w:afterAutospacing="1" w:line="240" w:lineRule="auto"/>
        <w:ind w:left="284"/>
        <w:jc w:val="both"/>
        <w:rPr>
          <w:rFonts w:cs="Arial"/>
          <w:szCs w:val="28"/>
          <w:lang w:val="ru-RU"/>
        </w:rPr>
      </w:pPr>
      <w:r w:rsidRPr="005405D2">
        <w:rPr>
          <w:rFonts w:cs="Arial"/>
          <w:szCs w:val="28"/>
          <w:lang w:val="ru-RU"/>
        </w:rPr>
        <w:t>Цифрландырудың әлсіздігі – қашықтан мониторинг және автоматтандыру жүйелерінің болмауы.</w:t>
      </w:r>
    </w:p>
    <w:p w14:paraId="559A2BE7" w14:textId="77777777" w:rsidR="00E71EB7" w:rsidRPr="005405D2" w:rsidRDefault="00E71EB7" w:rsidP="005947AC">
      <w:pPr>
        <w:tabs>
          <w:tab w:val="num" w:pos="720"/>
        </w:tabs>
        <w:spacing w:before="100" w:beforeAutospacing="1" w:after="100" w:afterAutospacing="1" w:line="240" w:lineRule="auto"/>
        <w:ind w:left="284"/>
        <w:rPr>
          <w:rFonts w:cs="Arial"/>
          <w:b/>
          <w:bCs/>
          <w:color w:val="000000" w:themeColor="text1"/>
          <w:szCs w:val="28"/>
          <w:lang w:val="ru-RU"/>
        </w:rPr>
      </w:pPr>
    </w:p>
    <w:p w14:paraId="24165F90" w14:textId="16BDFC78" w:rsidR="00E71EB7" w:rsidRPr="005405D2" w:rsidRDefault="00A91503" w:rsidP="00E71EB7">
      <w:pPr>
        <w:tabs>
          <w:tab w:val="num" w:pos="720"/>
        </w:tabs>
        <w:spacing w:before="100" w:beforeAutospacing="1" w:after="100" w:afterAutospacing="1" w:line="240" w:lineRule="auto"/>
        <w:ind w:left="284"/>
        <w:jc w:val="center"/>
        <w:rPr>
          <w:rFonts w:cs="Arial"/>
          <w:b/>
          <w:bCs/>
          <w:color w:val="000000" w:themeColor="text1"/>
          <w:szCs w:val="28"/>
          <w:lang w:val="ru-RU"/>
        </w:rPr>
      </w:pPr>
      <w:r w:rsidRPr="005405D2">
        <w:rPr>
          <w:rFonts w:cs="Arial"/>
          <w:color w:val="000000" w:themeColor="text1"/>
          <w:szCs w:val="28"/>
          <w:lang w:val="ru-RU"/>
        </w:rPr>
        <w:t>Солтүстік Қазақстан облысындағы қазандықтардың тозу деңгейі</w:t>
      </w:r>
      <w:r w:rsidR="00E71EB7" w:rsidRPr="005405D2">
        <w:rPr>
          <w:rFonts w:cs="Arial"/>
          <w:noProof/>
          <w:color w:val="000000" w:themeColor="text1"/>
          <w:szCs w:val="28"/>
          <w:lang w:val="ru-RU" w:eastAsia="ru-RU"/>
        </w:rPr>
        <w:drawing>
          <wp:inline distT="0" distB="0" distL="0" distR="0" wp14:anchorId="4CB08172" wp14:editId="0F730A1A">
            <wp:extent cx="3543300" cy="2546430"/>
            <wp:effectExtent l="0" t="0" r="0" b="6350"/>
            <wp:docPr id="899246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_kotelnye.png"/>
                    <pic:cNvPicPr/>
                  </pic:nvPicPr>
                  <pic:blipFill rotWithShape="1">
                    <a:blip r:embed="rId8"/>
                    <a:srcRect t="14515" b="13619"/>
                    <a:stretch>
                      <a:fillRect/>
                    </a:stretch>
                  </pic:blipFill>
                  <pic:spPr bwMode="auto">
                    <a:xfrm>
                      <a:off x="0" y="0"/>
                      <a:ext cx="3543300" cy="2546430"/>
                    </a:xfrm>
                    <a:prstGeom prst="rect">
                      <a:avLst/>
                    </a:prstGeom>
                    <a:ln>
                      <a:noFill/>
                    </a:ln>
                    <a:extLst>
                      <a:ext uri="{53640926-AAD7-44D8-BBD7-CCE9431645EC}">
                        <a14:shadowObscured xmlns:a14="http://schemas.microsoft.com/office/drawing/2010/main"/>
                      </a:ext>
                    </a:extLst>
                  </pic:spPr>
                </pic:pic>
              </a:graphicData>
            </a:graphic>
          </wp:inline>
        </w:drawing>
      </w:r>
    </w:p>
    <w:p w14:paraId="7BF3215E" w14:textId="77777777" w:rsidR="00A91503" w:rsidRPr="005405D2" w:rsidRDefault="00A91503" w:rsidP="00E71EB7">
      <w:pPr>
        <w:jc w:val="both"/>
        <w:rPr>
          <w:rFonts w:cs="Arial"/>
          <w:color w:val="000000" w:themeColor="text1"/>
          <w:szCs w:val="28"/>
          <w:lang w:val="ru-RU"/>
        </w:rPr>
      </w:pPr>
      <w:r w:rsidRPr="005405D2">
        <w:rPr>
          <w:rFonts w:cs="Arial"/>
          <w:color w:val="000000" w:themeColor="text1"/>
          <w:szCs w:val="28"/>
          <w:lang w:val="ru-RU"/>
        </w:rPr>
        <w:t>Диаграмма – қазандықтардың тозу дәрежесі бойынша үлестірімі</w:t>
      </w:r>
    </w:p>
    <w:p w14:paraId="13083078" w14:textId="0F9255D2" w:rsidR="00E71EB7" w:rsidRPr="005405D2" w:rsidRDefault="00E71EB7" w:rsidP="00E71EB7">
      <w:pPr>
        <w:jc w:val="both"/>
        <w:rPr>
          <w:rFonts w:cs="Arial"/>
          <w:color w:val="000000" w:themeColor="text1"/>
          <w:szCs w:val="28"/>
          <w:lang w:val="ru-RU"/>
        </w:rPr>
      </w:pPr>
      <w:r w:rsidRPr="005405D2">
        <w:rPr>
          <w:rFonts w:cs="Arial"/>
          <w:color w:val="000000" w:themeColor="text1"/>
          <w:szCs w:val="28"/>
          <w:lang w:val="ru-RU"/>
        </w:rPr>
        <w:t>Таблица демонстрирует динамику инвестиций в модернизацию котельных за последние годы:</w:t>
      </w:r>
    </w:p>
    <w:tbl>
      <w:tblPr>
        <w:tblStyle w:val="aff0"/>
        <w:tblpPr w:leftFromText="180" w:rightFromText="180" w:vertAnchor="text" w:tblpY="117"/>
        <w:tblW w:w="0" w:type="auto"/>
        <w:tblLook w:val="04A0" w:firstRow="1" w:lastRow="0" w:firstColumn="1" w:lastColumn="0" w:noHBand="0" w:noVBand="1"/>
      </w:tblPr>
      <w:tblGrid>
        <w:gridCol w:w="2880"/>
        <w:gridCol w:w="3069"/>
      </w:tblGrid>
      <w:tr w:rsidR="00E71EB7" w:rsidRPr="005405D2" w14:paraId="7191D592" w14:textId="77777777" w:rsidTr="00A91503">
        <w:tc>
          <w:tcPr>
            <w:tcW w:w="2880" w:type="dxa"/>
          </w:tcPr>
          <w:p w14:paraId="3C3828F6" w14:textId="2ECEF379" w:rsidR="00E71EB7" w:rsidRPr="005405D2" w:rsidRDefault="00A91503" w:rsidP="00FD7FDE">
            <w:pPr>
              <w:jc w:val="both"/>
              <w:rPr>
                <w:rFonts w:cs="Arial"/>
                <w:color w:val="000000" w:themeColor="text1"/>
                <w:szCs w:val="28"/>
                <w:lang w:val="ru-RU"/>
              </w:rPr>
            </w:pPr>
            <w:r w:rsidRPr="005405D2">
              <w:rPr>
                <w:rFonts w:cs="Arial"/>
                <w:color w:val="000000" w:themeColor="text1"/>
                <w:szCs w:val="28"/>
                <w:lang w:val="ru-RU"/>
              </w:rPr>
              <w:t>Жыл</w:t>
            </w:r>
          </w:p>
        </w:tc>
        <w:tc>
          <w:tcPr>
            <w:tcW w:w="3069" w:type="dxa"/>
          </w:tcPr>
          <w:p w14:paraId="51883624" w14:textId="77777777" w:rsidR="00E71EB7" w:rsidRPr="005405D2" w:rsidRDefault="00E71EB7" w:rsidP="00FD7FDE">
            <w:pPr>
              <w:jc w:val="both"/>
              <w:rPr>
                <w:rFonts w:cs="Arial"/>
                <w:color w:val="000000" w:themeColor="text1"/>
                <w:szCs w:val="28"/>
              </w:rPr>
            </w:pPr>
            <w:r w:rsidRPr="005405D2">
              <w:rPr>
                <w:rFonts w:cs="Arial"/>
                <w:color w:val="000000" w:themeColor="text1"/>
                <w:szCs w:val="28"/>
              </w:rPr>
              <w:t>Инвестиции, м</w:t>
            </w:r>
            <w:r w:rsidRPr="005405D2">
              <w:rPr>
                <w:rFonts w:cs="Arial"/>
                <w:color w:val="000000" w:themeColor="text1"/>
                <w:szCs w:val="28"/>
                <w:lang w:val="ru-RU"/>
              </w:rPr>
              <w:t>лн</w:t>
            </w:r>
            <w:r w:rsidRPr="005405D2">
              <w:rPr>
                <w:rFonts w:cs="Arial"/>
                <w:color w:val="000000" w:themeColor="text1"/>
                <w:szCs w:val="28"/>
              </w:rPr>
              <w:t xml:space="preserve"> тг</w:t>
            </w:r>
          </w:p>
        </w:tc>
      </w:tr>
      <w:tr w:rsidR="00E71EB7" w:rsidRPr="005405D2" w14:paraId="59187052" w14:textId="77777777" w:rsidTr="00A91503">
        <w:tc>
          <w:tcPr>
            <w:tcW w:w="2880" w:type="dxa"/>
          </w:tcPr>
          <w:p w14:paraId="02BB41B9" w14:textId="77777777" w:rsidR="00E71EB7" w:rsidRPr="005405D2" w:rsidRDefault="00E71EB7" w:rsidP="00FD7FDE">
            <w:pPr>
              <w:jc w:val="both"/>
              <w:rPr>
                <w:rFonts w:cs="Arial"/>
                <w:color w:val="000000" w:themeColor="text1"/>
                <w:szCs w:val="28"/>
              </w:rPr>
            </w:pPr>
            <w:r w:rsidRPr="005405D2">
              <w:rPr>
                <w:rFonts w:cs="Arial"/>
                <w:color w:val="000000" w:themeColor="text1"/>
                <w:szCs w:val="28"/>
              </w:rPr>
              <w:t>2022</w:t>
            </w:r>
          </w:p>
        </w:tc>
        <w:tc>
          <w:tcPr>
            <w:tcW w:w="3069" w:type="dxa"/>
          </w:tcPr>
          <w:p w14:paraId="64D4F719" w14:textId="77777777" w:rsidR="00E71EB7" w:rsidRPr="005405D2" w:rsidRDefault="00E71EB7" w:rsidP="00FD7FDE">
            <w:pPr>
              <w:jc w:val="both"/>
              <w:rPr>
                <w:rFonts w:cs="Arial"/>
                <w:color w:val="000000" w:themeColor="text1"/>
                <w:szCs w:val="28"/>
                <w:lang w:val="ru-RU"/>
              </w:rPr>
            </w:pPr>
            <w:r w:rsidRPr="005405D2">
              <w:rPr>
                <w:rFonts w:cs="Arial"/>
                <w:color w:val="000000" w:themeColor="text1"/>
                <w:szCs w:val="28"/>
                <w:lang w:val="ru-RU"/>
              </w:rPr>
              <w:t>80</w:t>
            </w:r>
          </w:p>
        </w:tc>
      </w:tr>
      <w:tr w:rsidR="00E71EB7" w:rsidRPr="005405D2" w14:paraId="7126F87D" w14:textId="77777777" w:rsidTr="00A91503">
        <w:tc>
          <w:tcPr>
            <w:tcW w:w="2880" w:type="dxa"/>
          </w:tcPr>
          <w:p w14:paraId="1999DC66" w14:textId="77777777" w:rsidR="00E71EB7" w:rsidRPr="005405D2" w:rsidRDefault="00E71EB7" w:rsidP="00FD7FDE">
            <w:pPr>
              <w:jc w:val="both"/>
              <w:rPr>
                <w:rFonts w:cs="Arial"/>
                <w:color w:val="000000" w:themeColor="text1"/>
                <w:szCs w:val="28"/>
              </w:rPr>
            </w:pPr>
            <w:r w:rsidRPr="005405D2">
              <w:rPr>
                <w:rFonts w:cs="Arial"/>
                <w:color w:val="000000" w:themeColor="text1"/>
                <w:szCs w:val="28"/>
              </w:rPr>
              <w:t>2023</w:t>
            </w:r>
          </w:p>
        </w:tc>
        <w:tc>
          <w:tcPr>
            <w:tcW w:w="3069" w:type="dxa"/>
          </w:tcPr>
          <w:p w14:paraId="3EA8EA08" w14:textId="77777777" w:rsidR="00E71EB7" w:rsidRPr="005405D2" w:rsidRDefault="00E71EB7" w:rsidP="00FD7FDE">
            <w:pPr>
              <w:jc w:val="both"/>
              <w:rPr>
                <w:rFonts w:cs="Arial"/>
                <w:color w:val="000000" w:themeColor="text1"/>
                <w:szCs w:val="28"/>
                <w:lang w:val="ru-RU"/>
              </w:rPr>
            </w:pPr>
            <w:r w:rsidRPr="005405D2">
              <w:rPr>
                <w:rFonts w:cs="Arial"/>
                <w:color w:val="000000" w:themeColor="text1"/>
                <w:szCs w:val="28"/>
                <w:lang w:val="ru-RU"/>
              </w:rPr>
              <w:t>120</w:t>
            </w:r>
          </w:p>
        </w:tc>
      </w:tr>
      <w:tr w:rsidR="00E71EB7" w:rsidRPr="005405D2" w14:paraId="575C910E" w14:textId="77777777" w:rsidTr="00A91503">
        <w:tc>
          <w:tcPr>
            <w:tcW w:w="2880" w:type="dxa"/>
          </w:tcPr>
          <w:p w14:paraId="7F17CD77" w14:textId="77777777" w:rsidR="00E71EB7" w:rsidRPr="005405D2" w:rsidRDefault="00E71EB7" w:rsidP="00FD7FDE">
            <w:pPr>
              <w:jc w:val="both"/>
              <w:rPr>
                <w:rFonts w:cs="Arial"/>
                <w:color w:val="000000" w:themeColor="text1"/>
                <w:szCs w:val="28"/>
              </w:rPr>
            </w:pPr>
            <w:r w:rsidRPr="005405D2">
              <w:rPr>
                <w:rFonts w:cs="Arial"/>
                <w:color w:val="000000" w:themeColor="text1"/>
                <w:szCs w:val="28"/>
              </w:rPr>
              <w:t>2024</w:t>
            </w:r>
          </w:p>
        </w:tc>
        <w:tc>
          <w:tcPr>
            <w:tcW w:w="3069" w:type="dxa"/>
          </w:tcPr>
          <w:p w14:paraId="4F324A63" w14:textId="77777777" w:rsidR="00E71EB7" w:rsidRPr="005405D2" w:rsidRDefault="00E71EB7" w:rsidP="00FD7FDE">
            <w:pPr>
              <w:jc w:val="both"/>
              <w:rPr>
                <w:rFonts w:cs="Arial"/>
                <w:color w:val="000000" w:themeColor="text1"/>
                <w:szCs w:val="28"/>
                <w:lang w:val="ru-RU"/>
              </w:rPr>
            </w:pPr>
            <w:r w:rsidRPr="005405D2">
              <w:rPr>
                <w:rFonts w:cs="Arial"/>
                <w:color w:val="000000" w:themeColor="text1"/>
                <w:szCs w:val="28"/>
                <w:lang w:val="ru-RU"/>
              </w:rPr>
              <w:t>224</w:t>
            </w:r>
          </w:p>
        </w:tc>
      </w:tr>
    </w:tbl>
    <w:p w14:paraId="15359ECE" w14:textId="77777777" w:rsidR="00E71EB7" w:rsidRPr="005405D2" w:rsidRDefault="00E71EB7" w:rsidP="00E71EB7">
      <w:pPr>
        <w:tabs>
          <w:tab w:val="num" w:pos="720"/>
        </w:tabs>
        <w:spacing w:before="100" w:beforeAutospacing="1" w:after="100" w:afterAutospacing="1" w:line="240" w:lineRule="auto"/>
        <w:ind w:left="284"/>
        <w:rPr>
          <w:rFonts w:eastAsia="Times New Roman" w:cs="Arial"/>
          <w:szCs w:val="28"/>
          <w:lang w:val="ru-RU" w:eastAsia="ru-RU"/>
        </w:rPr>
      </w:pPr>
    </w:p>
    <w:p w14:paraId="4519FAB6" w14:textId="77777777" w:rsidR="00E71EB7" w:rsidRPr="005405D2" w:rsidRDefault="00E71EB7" w:rsidP="00E71EB7">
      <w:pPr>
        <w:spacing w:line="240" w:lineRule="auto"/>
        <w:jc w:val="both"/>
        <w:rPr>
          <w:rFonts w:cs="Arial"/>
          <w:color w:val="000000" w:themeColor="text1"/>
          <w:szCs w:val="28"/>
          <w:lang w:val="ru-RU"/>
        </w:rPr>
      </w:pPr>
    </w:p>
    <w:p w14:paraId="10B3E299" w14:textId="77777777" w:rsidR="00E71EB7" w:rsidRPr="005405D2" w:rsidRDefault="00E71EB7" w:rsidP="00E71EB7">
      <w:pPr>
        <w:spacing w:line="240" w:lineRule="auto"/>
        <w:jc w:val="both"/>
        <w:rPr>
          <w:rFonts w:cs="Arial"/>
          <w:color w:val="000000" w:themeColor="text1"/>
          <w:szCs w:val="28"/>
          <w:lang w:val="ru-RU"/>
        </w:rPr>
      </w:pPr>
    </w:p>
    <w:p w14:paraId="308E46BF" w14:textId="0857B095" w:rsidR="005947AC" w:rsidRPr="005405D2" w:rsidRDefault="00A91503" w:rsidP="00EE4DDC">
      <w:pPr>
        <w:spacing w:line="240" w:lineRule="auto"/>
        <w:jc w:val="both"/>
        <w:rPr>
          <w:rFonts w:cs="Arial"/>
          <w:color w:val="000000" w:themeColor="text1"/>
          <w:szCs w:val="28"/>
          <w:lang w:val="ru-RU"/>
        </w:rPr>
      </w:pPr>
      <w:r w:rsidRPr="005405D2">
        <w:rPr>
          <w:rFonts w:cs="Arial"/>
          <w:color w:val="000000" w:themeColor="text1"/>
          <w:szCs w:val="28"/>
          <w:lang w:val="ru-RU"/>
        </w:rPr>
        <w:t>Кесте 1 – Қазандықтарды жаңғыртуға инвестициялар динамикасы (2022–2024 жж.)</w:t>
      </w:r>
    </w:p>
    <w:p w14:paraId="7F956C76" w14:textId="5B7881D0" w:rsidR="005405D2" w:rsidRPr="005405D2" w:rsidRDefault="00A91503" w:rsidP="005405D2">
      <w:pPr>
        <w:ind w:left="360"/>
        <w:jc w:val="center"/>
        <w:rPr>
          <w:rFonts w:cs="Arial"/>
          <w:b/>
          <w:bCs/>
          <w:color w:val="000000" w:themeColor="text1"/>
          <w:szCs w:val="28"/>
          <w:lang w:val="ru-RU"/>
        </w:rPr>
      </w:pPr>
      <w:r w:rsidRPr="005405D2">
        <w:rPr>
          <w:rFonts w:cs="Arial"/>
          <w:b/>
          <w:bCs/>
          <w:color w:val="000000" w:themeColor="text1"/>
          <w:szCs w:val="28"/>
          <w:lang w:val="ru-RU"/>
        </w:rPr>
        <w:t>Халықаралық тәжірибе</w:t>
      </w:r>
    </w:p>
    <w:p w14:paraId="1684691C" w14:textId="0A217229" w:rsidR="005405D2" w:rsidRPr="005405D2" w:rsidRDefault="005405D2" w:rsidP="005405D2">
      <w:pPr>
        <w:spacing w:line="240" w:lineRule="auto"/>
        <w:ind w:left="360"/>
        <w:jc w:val="both"/>
        <w:rPr>
          <w:rFonts w:cs="Arial"/>
          <w:color w:val="000000" w:themeColor="text1"/>
          <w:szCs w:val="28"/>
          <w:lang w:val="ru-RU"/>
        </w:rPr>
      </w:pPr>
      <w:r w:rsidRPr="005405D2">
        <w:rPr>
          <w:rFonts w:cs="Arial"/>
          <w:color w:val="000000" w:themeColor="text1"/>
          <w:szCs w:val="28"/>
          <w:lang w:val="ru-RU"/>
        </w:rPr>
        <w:t xml:space="preserve">Дания. Жылу жүйелерінде жылу сорғыларының, жел энергиясының және биомассаның белсенді қолданылуының мысалы. Ақпараттық технология платформалары арқылы орталықтандырылған басқару көмірқышқыл газының шығарындыларын азайтып, ресурстарды оңтайландыруға </w:t>
      </w:r>
      <w:r w:rsidRPr="005405D2">
        <w:rPr>
          <w:rFonts w:cs="Arial"/>
          <w:color w:val="000000" w:themeColor="text1"/>
          <w:szCs w:val="28"/>
          <w:lang w:val="ru-RU"/>
        </w:rPr>
        <w:lastRenderedPageBreak/>
        <w:t>мүмкіндік береді \[2]. Мұндай тәсіл Кызылжар ауданы үшін орнықты жылумен қамтамасыз ету моделін әзірлеу кезінде бағдар ретінде қарастырылуы мүмкін. Ауданда ауыл шаруашылығы қалдықтарының мол болуы биомассаны біртіндеп отын ретінде енгізуге мүмкіндік береді, ал цифрлық платформалар қазандықтарды шағын операторлар штатымен қашықтан басқаруға жағдай жасайды.</w:t>
      </w:r>
    </w:p>
    <w:p w14:paraId="3BE44FE5" w14:textId="402536AF" w:rsidR="005405D2" w:rsidRPr="005405D2" w:rsidRDefault="005405D2" w:rsidP="005405D2">
      <w:pPr>
        <w:spacing w:line="240" w:lineRule="auto"/>
        <w:ind w:left="360"/>
        <w:jc w:val="both"/>
        <w:rPr>
          <w:rFonts w:cs="Arial"/>
          <w:color w:val="000000" w:themeColor="text1"/>
          <w:szCs w:val="28"/>
          <w:lang w:val="ru-RU"/>
        </w:rPr>
      </w:pPr>
      <w:r w:rsidRPr="005405D2">
        <w:rPr>
          <w:rFonts w:cs="Arial"/>
          <w:color w:val="000000" w:themeColor="text1"/>
          <w:szCs w:val="28"/>
          <w:lang w:val="ru-RU"/>
        </w:rPr>
        <w:t>Нидерланд. Жасыл сутегімен жұмыс істейтін қазандықтарды әзірлеу CO</w:t>
      </w:r>
      <w:r w:rsidRPr="005405D2">
        <w:rPr>
          <w:rFonts w:ascii="Cambria Math" w:hAnsi="Cambria Math" w:cs="Cambria Math"/>
          <w:color w:val="000000" w:themeColor="text1"/>
          <w:szCs w:val="28"/>
          <w:lang w:val="ru-RU"/>
        </w:rPr>
        <w:t>₂</w:t>
      </w:r>
      <w:r w:rsidRPr="005405D2">
        <w:rPr>
          <w:rFonts w:cs="Arial"/>
          <w:color w:val="000000" w:themeColor="text1"/>
          <w:szCs w:val="28"/>
          <w:lang w:val="ru-RU"/>
        </w:rPr>
        <w:t xml:space="preserve"> шығарындыларын азайтып, жаңартылатын отынға көшуді қамтамасыз етеді \[3]. «Жасыл» экономикаға көшу жағдайында мұндай технологиялар тереңірек зерттеуге және СҚО-дағы кейбір нысандарды жаңғырту аясында пилоттық сынақтан өткізуге қызығушылық тудыруы мүмкін.</w:t>
      </w:r>
    </w:p>
    <w:p w14:paraId="0144694A" w14:textId="6EAF9C5B" w:rsidR="005405D2" w:rsidRPr="005405D2" w:rsidRDefault="005405D2" w:rsidP="005405D2">
      <w:pPr>
        <w:spacing w:line="240" w:lineRule="auto"/>
        <w:ind w:left="360"/>
        <w:jc w:val="both"/>
        <w:rPr>
          <w:rFonts w:cs="Arial"/>
          <w:color w:val="000000" w:themeColor="text1"/>
          <w:szCs w:val="28"/>
          <w:lang w:val="ru-RU"/>
        </w:rPr>
      </w:pPr>
      <w:r w:rsidRPr="005405D2">
        <w:rPr>
          <w:rFonts w:cs="Arial"/>
          <w:color w:val="000000" w:themeColor="text1"/>
          <w:szCs w:val="28"/>
          <w:lang w:val="ru-RU"/>
        </w:rPr>
        <w:t>Австрия. Автоматтандырылған пеллет қазандықтарының кеңінен қолданылуы, жылу жүйесін басқаруға ЖИ (жасанды интеллект) енгізу \[4]. Мұндай тәсілді ауылдық немесе жартылай ауылдық елді мекендерде қолдануға болады (мұнда биомасса, үгінділер, ағаш қалдықтары бар), пеллет қазандықтарын орнатып, температура, отын шығыны, ылғалдылық датчиктерін орнатып, ЖИ элементтері бар басқару жүйесіне қосуға болады.</w:t>
      </w:r>
    </w:p>
    <w:p w14:paraId="5177F3C9" w14:textId="620E4585" w:rsidR="005405D2" w:rsidRPr="005405D2" w:rsidRDefault="005405D2" w:rsidP="005405D2">
      <w:pPr>
        <w:spacing w:line="240" w:lineRule="auto"/>
        <w:ind w:left="360"/>
        <w:jc w:val="both"/>
        <w:rPr>
          <w:rFonts w:cs="Arial"/>
          <w:color w:val="000000" w:themeColor="text1"/>
          <w:szCs w:val="28"/>
          <w:lang w:val="ru-RU"/>
        </w:rPr>
      </w:pPr>
      <w:r w:rsidRPr="005405D2">
        <w:rPr>
          <w:rFonts w:cs="Arial"/>
          <w:color w:val="000000" w:themeColor="text1"/>
          <w:szCs w:val="28"/>
          <w:lang w:val="ru-RU"/>
        </w:rPr>
        <w:t>АҚШ. Біріктірілген жылу және электр энергиясын өндіру (CHP – Combined Heat and Power) жүйелері кеңінен қолданылады, олар жоғары тиімділікпен жұмыс істейді \[5]. Жылу мен электрге сұраныс жоғары аудандарда (мысалы, әлеуметтік нысандар: мектептер, ауруханалар, тұрғын үйлер), жылу мен электрді бір уақытта өндіретін жобаларды әзірлеуге болады. Бұл жобалар электр тарифтері өскен жағдайда және отын немесе газ көздері болғанда тиімді болуы мүмкін.</w:t>
      </w:r>
    </w:p>
    <w:p w14:paraId="2D42CBB1" w14:textId="43405D61" w:rsidR="005405D2" w:rsidRPr="005405D2" w:rsidRDefault="005405D2" w:rsidP="005405D2">
      <w:pPr>
        <w:spacing w:line="240" w:lineRule="auto"/>
        <w:ind w:left="360"/>
        <w:jc w:val="both"/>
        <w:rPr>
          <w:rFonts w:cs="Arial"/>
          <w:color w:val="000000" w:themeColor="text1"/>
          <w:szCs w:val="28"/>
          <w:lang w:val="ru-RU"/>
        </w:rPr>
      </w:pPr>
      <w:r w:rsidRPr="005405D2">
        <w:rPr>
          <w:rFonts w:cs="Arial"/>
          <w:color w:val="000000" w:themeColor="text1"/>
          <w:szCs w:val="28"/>
          <w:lang w:val="ru-RU"/>
        </w:rPr>
        <w:t>Канада. Модульдік қазандықтар масштабтаудың икемділігін қамтамасыз етіп, шалғай аудандарға жарамды \[6]. Орталықтандырылған жылу желілерін тарту қымбатқа түсетін шалғай немесе шағын елді мекендерде модульдік қазандықтар орнатуға болады. Сондай-ақ, мұндай модульдерді резервтік нұсқа ретінде немесе маусымаралық кезеңде (жүктеме аз кезде) қолдануға болады.</w:t>
      </w:r>
    </w:p>
    <w:p w14:paraId="768D01D8" w14:textId="4E3B15C8" w:rsidR="005405D2" w:rsidRPr="005405D2" w:rsidRDefault="005405D2" w:rsidP="005405D2">
      <w:pPr>
        <w:spacing w:line="240" w:lineRule="auto"/>
        <w:ind w:left="360"/>
        <w:jc w:val="both"/>
        <w:rPr>
          <w:rFonts w:cs="Arial"/>
          <w:color w:val="000000" w:themeColor="text1"/>
          <w:szCs w:val="28"/>
          <w:lang w:val="ru-RU"/>
        </w:rPr>
      </w:pPr>
      <w:r w:rsidRPr="005405D2">
        <w:rPr>
          <w:rFonts w:cs="Arial"/>
          <w:color w:val="000000" w:themeColor="text1"/>
          <w:szCs w:val="28"/>
          <w:lang w:val="ru-RU"/>
        </w:rPr>
        <w:t xml:space="preserve">Оңтүстік Корея. Қазандықтарды басқаруда SCADA және IoT технологияларын интеграциялау нақты уақыт режимінде параметрлерді бақылауға және жедел әрекет етуге мүмкіндік береді \[7]. Кызылжар ауданындағы қазандықтарда SCADA жүйелерін енгізуге болады: қысым, температура, түтін, отын шығыны, су шығыны, жылу шығыны датчиктері. IoT арқылы нақты уақыттағы деректерді жинап, бақылау және ауытқуларға жедел жауап беру арқылы шығындарды азайтуға болады. </w:t>
      </w:r>
      <w:r w:rsidRPr="005405D2">
        <w:rPr>
          <w:rFonts w:cs="Arial"/>
          <w:color w:val="000000" w:themeColor="text1"/>
          <w:szCs w:val="28"/>
          <w:lang w:val="ru-RU"/>
        </w:rPr>
        <w:lastRenderedPageBreak/>
        <w:t>Қазандықтарды сыртқы ауа райы деректерімен байланыстырып, олардың жұмыс режимін автоматты түрде бейімдеуге болады.</w:t>
      </w:r>
    </w:p>
    <w:p w14:paraId="42D6A2D3" w14:textId="77777777" w:rsidR="005405D2" w:rsidRPr="005405D2" w:rsidRDefault="005405D2" w:rsidP="00A91503">
      <w:pPr>
        <w:ind w:left="360"/>
        <w:jc w:val="center"/>
        <w:rPr>
          <w:rFonts w:cs="Arial"/>
          <w:color w:val="000000" w:themeColor="text1"/>
          <w:szCs w:val="28"/>
          <w:lang w:val="ru-RU"/>
        </w:rPr>
      </w:pPr>
    </w:p>
    <w:p w14:paraId="1059BFEB" w14:textId="583D4D98" w:rsidR="00A91503" w:rsidRPr="005405D2" w:rsidRDefault="00A91503" w:rsidP="00A91503">
      <w:pPr>
        <w:ind w:left="360"/>
        <w:jc w:val="center"/>
        <w:rPr>
          <w:rFonts w:cs="Arial"/>
          <w:b/>
          <w:bCs/>
          <w:color w:val="000000" w:themeColor="text1"/>
          <w:szCs w:val="28"/>
          <w:lang w:val="ru-RU"/>
        </w:rPr>
      </w:pPr>
      <w:r w:rsidRPr="005405D2">
        <w:rPr>
          <w:rFonts w:cs="Arial"/>
          <w:b/>
          <w:bCs/>
          <w:color w:val="000000" w:themeColor="text1"/>
          <w:szCs w:val="28"/>
          <w:lang w:val="ru-RU"/>
        </w:rPr>
        <w:t>Ұсыныстар мен ұсынылатын шаралар</w:t>
      </w:r>
    </w:p>
    <w:p w14:paraId="5E245DF4" w14:textId="77777777" w:rsidR="00A91503" w:rsidRPr="005405D2" w:rsidRDefault="00A91503" w:rsidP="00A91503">
      <w:pPr>
        <w:ind w:left="360"/>
        <w:jc w:val="both"/>
        <w:rPr>
          <w:rFonts w:cs="Arial"/>
          <w:color w:val="000000" w:themeColor="text1"/>
          <w:szCs w:val="28"/>
          <w:lang w:val="ru-RU"/>
        </w:rPr>
      </w:pPr>
      <w:r w:rsidRPr="005405D2">
        <w:rPr>
          <w:rFonts w:cs="Arial"/>
          <w:color w:val="000000" w:themeColor="text1"/>
          <w:szCs w:val="28"/>
          <w:lang w:val="ru-RU"/>
        </w:rPr>
        <w:t>Қазандық жабдықтарын заманауи, энергия үнемдейтін агрегаттарға ауыстыру және жаңғырту.</w:t>
      </w:r>
    </w:p>
    <w:p w14:paraId="343553B3" w14:textId="77777777" w:rsidR="00A91503" w:rsidRPr="005405D2" w:rsidRDefault="00A91503" w:rsidP="00A91503">
      <w:pPr>
        <w:ind w:left="360"/>
        <w:jc w:val="both"/>
        <w:rPr>
          <w:rFonts w:cs="Arial"/>
          <w:color w:val="000000" w:themeColor="text1"/>
          <w:szCs w:val="28"/>
          <w:lang w:val="ru-RU"/>
        </w:rPr>
      </w:pPr>
      <w:r w:rsidRPr="005405D2">
        <w:rPr>
          <w:rFonts w:cs="Arial"/>
          <w:color w:val="000000" w:themeColor="text1"/>
          <w:szCs w:val="28"/>
          <w:lang w:val="ru-RU"/>
        </w:rPr>
        <w:t>Жылу және отын шығынын есептейтін автоматтандырылған басқару жүйелерін енгізу.</w:t>
      </w:r>
    </w:p>
    <w:p w14:paraId="7CD8CFBE" w14:textId="77777777" w:rsidR="00A91503" w:rsidRPr="005405D2" w:rsidRDefault="00A91503" w:rsidP="00A91503">
      <w:pPr>
        <w:ind w:left="360"/>
        <w:jc w:val="both"/>
        <w:rPr>
          <w:rFonts w:cs="Arial"/>
          <w:color w:val="000000" w:themeColor="text1"/>
          <w:szCs w:val="28"/>
          <w:lang w:val="ru-RU"/>
        </w:rPr>
      </w:pPr>
      <w:r w:rsidRPr="005405D2">
        <w:rPr>
          <w:rFonts w:cs="Arial"/>
          <w:color w:val="000000" w:themeColor="text1"/>
          <w:szCs w:val="28"/>
          <w:lang w:val="ru-RU"/>
        </w:rPr>
        <w:t>Баламалы энергия көздеріне көшу (мысалы, биомасса немесе бу-газ қондырғылары).</w:t>
      </w:r>
    </w:p>
    <w:p w14:paraId="24A6A46F" w14:textId="77777777" w:rsidR="00A91503" w:rsidRPr="005405D2" w:rsidRDefault="00A91503" w:rsidP="00A91503">
      <w:pPr>
        <w:ind w:left="360"/>
        <w:jc w:val="both"/>
        <w:rPr>
          <w:rFonts w:cs="Arial"/>
          <w:color w:val="000000" w:themeColor="text1"/>
          <w:szCs w:val="28"/>
          <w:lang w:val="ru-RU"/>
        </w:rPr>
      </w:pPr>
      <w:r w:rsidRPr="005405D2">
        <w:rPr>
          <w:rFonts w:cs="Arial"/>
          <w:color w:val="000000" w:themeColor="text1"/>
          <w:szCs w:val="28"/>
          <w:lang w:val="ru-RU"/>
        </w:rPr>
        <w:t>Жылу желілерін жаңғырту – тозған учаскелер мен жылу оқшаулау жүйесін ауыстыру.</w:t>
      </w:r>
    </w:p>
    <w:p w14:paraId="27FF0C45" w14:textId="77777777" w:rsidR="00A91503" w:rsidRPr="005405D2" w:rsidRDefault="00A91503" w:rsidP="00A91503">
      <w:pPr>
        <w:ind w:left="360"/>
        <w:jc w:val="both"/>
        <w:rPr>
          <w:rFonts w:cs="Arial"/>
          <w:color w:val="000000" w:themeColor="text1"/>
          <w:szCs w:val="28"/>
          <w:lang w:val="ru-RU"/>
        </w:rPr>
      </w:pPr>
      <w:r w:rsidRPr="005405D2">
        <w:rPr>
          <w:rFonts w:cs="Arial"/>
          <w:color w:val="000000" w:themeColor="text1"/>
          <w:szCs w:val="28"/>
          <w:lang w:val="ru-RU"/>
        </w:rPr>
        <w:t>Мемлекет-жеке меншік әріптестік, субсидиялар және энергия тиімділігі бағдарламалары арқылы инвестиция тарту.</w:t>
      </w:r>
    </w:p>
    <w:p w14:paraId="7E8673A7" w14:textId="13429D1E" w:rsidR="00A91503" w:rsidRPr="005405D2" w:rsidRDefault="00A91503" w:rsidP="00A91503">
      <w:pPr>
        <w:ind w:left="360"/>
        <w:jc w:val="both"/>
        <w:rPr>
          <w:rFonts w:cs="Arial"/>
          <w:color w:val="000000" w:themeColor="text1"/>
          <w:szCs w:val="28"/>
          <w:lang w:val="ru-RU"/>
        </w:rPr>
      </w:pPr>
    </w:p>
    <w:p w14:paraId="070FBD8A" w14:textId="77777777" w:rsidR="00A91503" w:rsidRPr="005405D2" w:rsidRDefault="00A91503" w:rsidP="00A91503">
      <w:pPr>
        <w:ind w:left="360"/>
        <w:jc w:val="center"/>
        <w:rPr>
          <w:rFonts w:cs="Arial"/>
          <w:b/>
          <w:bCs/>
          <w:color w:val="000000" w:themeColor="text1"/>
          <w:szCs w:val="28"/>
          <w:lang w:val="ru-RU"/>
        </w:rPr>
      </w:pPr>
      <w:r w:rsidRPr="005405D2">
        <w:rPr>
          <w:rFonts w:cs="Arial"/>
          <w:b/>
          <w:bCs/>
          <w:color w:val="000000" w:themeColor="text1"/>
          <w:szCs w:val="28"/>
          <w:lang w:val="ru-RU"/>
        </w:rPr>
        <w:t>Қорытындылар</w:t>
      </w:r>
    </w:p>
    <w:p w14:paraId="01E711F5" w14:textId="77777777" w:rsidR="00A91503" w:rsidRPr="005405D2" w:rsidRDefault="00A91503" w:rsidP="00A91503">
      <w:pPr>
        <w:ind w:left="360"/>
        <w:jc w:val="both"/>
        <w:rPr>
          <w:rFonts w:cs="Arial"/>
          <w:color w:val="000000" w:themeColor="text1"/>
          <w:szCs w:val="28"/>
          <w:lang w:val="ru-RU"/>
        </w:rPr>
      </w:pPr>
      <w:r w:rsidRPr="005405D2">
        <w:rPr>
          <w:rFonts w:cs="Arial"/>
          <w:color w:val="000000" w:themeColor="text1"/>
          <w:szCs w:val="28"/>
          <w:lang w:val="ru-RU"/>
        </w:rPr>
        <w:t>Солтүстік Қазақстан облысындағы қазандықтар жүйесі жоғары тозу деңгейімен, көмірге тәуелділікпен және автоматтандырудың төмен деңгейімен сипатталады. Кешенді жаңғырту жүргізілмесе, жылыту маусымында апаттық жағдайлардың туындау қаупі сақталады.</w:t>
      </w:r>
    </w:p>
    <w:p w14:paraId="4FDE072B" w14:textId="7D924975" w:rsidR="005F1D87" w:rsidRPr="005405D2" w:rsidRDefault="00A91503" w:rsidP="00A91503">
      <w:pPr>
        <w:ind w:left="360"/>
        <w:jc w:val="both"/>
        <w:rPr>
          <w:rFonts w:cs="Arial"/>
          <w:color w:val="000000" w:themeColor="text1"/>
          <w:szCs w:val="28"/>
          <w:lang w:val="ru-RU"/>
        </w:rPr>
      </w:pPr>
      <w:r w:rsidRPr="005405D2">
        <w:rPr>
          <w:rFonts w:cs="Arial"/>
          <w:color w:val="000000" w:themeColor="text1"/>
          <w:szCs w:val="28"/>
          <w:lang w:val="ru-RU"/>
        </w:rPr>
        <w:t>«Қызылжар-ТКШ» ЖШС қазандықтарын жаңғырту – Қызылжар ауданының инфрақұрылымын тұрақты дамыту үшін стратегиялық маңызды бағыт. Қажетті инвестициялар дер кезінде салынған жағдайда, бұл жылу энергиясын тиімді әрі үнемді жеткізуге, халықтың өмір сапасын арттыруға және бюджеттік мекемелерге түсетін қаржылық жүктемені азайтуға мүмкіндік береді.</w:t>
      </w:r>
    </w:p>
    <w:p w14:paraId="0A7612BF" w14:textId="77777777" w:rsidR="0058221E" w:rsidRPr="005405D2" w:rsidRDefault="0058221E" w:rsidP="0058221E">
      <w:pPr>
        <w:ind w:left="360"/>
        <w:jc w:val="center"/>
        <w:rPr>
          <w:rFonts w:cs="Arial"/>
          <w:color w:val="000000" w:themeColor="text1"/>
          <w:szCs w:val="28"/>
          <w:lang w:val="ru-RU"/>
        </w:rPr>
      </w:pPr>
    </w:p>
    <w:p w14:paraId="2D6EC1B8" w14:textId="0A80B8B6" w:rsidR="006D15D1" w:rsidRPr="005405D2" w:rsidRDefault="0058221E" w:rsidP="0058221E">
      <w:pPr>
        <w:spacing w:line="240" w:lineRule="auto"/>
        <w:jc w:val="center"/>
        <w:rPr>
          <w:rFonts w:cs="Arial"/>
          <w:color w:val="000000" w:themeColor="text1"/>
          <w:szCs w:val="28"/>
          <w:lang w:val="ru-RU"/>
        </w:rPr>
      </w:pPr>
      <w:r w:rsidRPr="005405D2">
        <w:rPr>
          <w:rFonts w:eastAsia="Times New Roman" w:cs="Arial"/>
          <w:b/>
          <w:bCs/>
          <w:szCs w:val="28"/>
          <w:lang w:val="ru-RU" w:eastAsia="ru-RU"/>
        </w:rPr>
        <w:t>Пайдаланылған дереккөздер тізімі</w:t>
      </w:r>
    </w:p>
    <w:p w14:paraId="64F2770B" w14:textId="1F7BD5F1" w:rsidR="006D15D1" w:rsidRPr="005405D2" w:rsidRDefault="006D15D1" w:rsidP="0058221E">
      <w:pPr>
        <w:spacing w:line="240" w:lineRule="auto"/>
        <w:ind w:left="720"/>
        <w:jc w:val="both"/>
        <w:rPr>
          <w:rFonts w:cs="Arial"/>
          <w:color w:val="000000" w:themeColor="text1"/>
          <w:szCs w:val="28"/>
          <w:lang w:val="ru-RU"/>
        </w:rPr>
      </w:pPr>
      <w:r w:rsidRPr="005405D2">
        <w:rPr>
          <w:rFonts w:cs="Arial"/>
          <w:color w:val="000000" w:themeColor="text1"/>
          <w:szCs w:val="28"/>
          <w:lang w:val="ru-RU"/>
        </w:rPr>
        <w:lastRenderedPageBreak/>
        <w:t xml:space="preserve">1 </w:t>
      </w:r>
      <w:hyperlink r:id="rId9" w:history="1">
        <w:r w:rsidR="0058221E" w:rsidRPr="005405D2">
          <w:rPr>
            <w:rStyle w:val="affa"/>
            <w:rFonts w:cs="Arial"/>
            <w:szCs w:val="28"/>
          </w:rPr>
          <w:t>https</w:t>
        </w:r>
        <w:r w:rsidR="0058221E" w:rsidRPr="005405D2">
          <w:rPr>
            <w:rStyle w:val="affa"/>
            <w:rFonts w:cs="Arial"/>
            <w:szCs w:val="28"/>
            <w:lang w:val="ru-RU"/>
          </w:rPr>
          <w:t>://</w:t>
        </w:r>
        <w:r w:rsidR="0058221E" w:rsidRPr="005405D2">
          <w:rPr>
            <w:rStyle w:val="affa"/>
            <w:rFonts w:cs="Arial"/>
            <w:szCs w:val="28"/>
          </w:rPr>
          <w:t>www</w:t>
        </w:r>
        <w:r w:rsidR="0058221E" w:rsidRPr="005405D2">
          <w:rPr>
            <w:rStyle w:val="affa"/>
            <w:rFonts w:cs="Arial"/>
            <w:szCs w:val="28"/>
            <w:lang w:val="ru-RU"/>
          </w:rPr>
          <w:t>.</w:t>
        </w:r>
        <w:r w:rsidR="0058221E" w:rsidRPr="005405D2">
          <w:rPr>
            <w:rStyle w:val="affa"/>
            <w:rFonts w:cs="Arial"/>
            <w:szCs w:val="28"/>
          </w:rPr>
          <w:t>inform</w:t>
        </w:r>
        <w:r w:rsidR="0058221E" w:rsidRPr="005405D2">
          <w:rPr>
            <w:rStyle w:val="affa"/>
            <w:rFonts w:cs="Arial"/>
            <w:szCs w:val="28"/>
            <w:lang w:val="ru-RU"/>
          </w:rPr>
          <w:t>.</w:t>
        </w:r>
        <w:r w:rsidR="0058221E" w:rsidRPr="005405D2">
          <w:rPr>
            <w:rStyle w:val="affa"/>
            <w:rFonts w:cs="Arial"/>
            <w:szCs w:val="28"/>
          </w:rPr>
          <w:t>kz</w:t>
        </w:r>
        <w:r w:rsidR="0058221E" w:rsidRPr="005405D2">
          <w:rPr>
            <w:rStyle w:val="affa"/>
            <w:rFonts w:cs="Arial"/>
            <w:szCs w:val="28"/>
            <w:lang w:val="ru-RU"/>
          </w:rPr>
          <w:t>/</w:t>
        </w:r>
        <w:r w:rsidR="0058221E" w:rsidRPr="005405D2">
          <w:rPr>
            <w:rStyle w:val="affa"/>
            <w:rFonts w:cs="Arial"/>
            <w:szCs w:val="28"/>
          </w:rPr>
          <w:t>ru</w:t>
        </w:r>
        <w:r w:rsidR="0058221E" w:rsidRPr="005405D2">
          <w:rPr>
            <w:rStyle w:val="affa"/>
            <w:rFonts w:cs="Arial"/>
            <w:szCs w:val="28"/>
            <w:lang w:val="ru-RU"/>
          </w:rPr>
          <w:t>/550-</w:t>
        </w:r>
        <w:r w:rsidR="0058221E" w:rsidRPr="005405D2">
          <w:rPr>
            <w:rStyle w:val="affa"/>
            <w:rFonts w:cs="Arial"/>
            <w:szCs w:val="28"/>
          </w:rPr>
          <w:t>spetsialistov</w:t>
        </w:r>
        <w:r w:rsidR="0058221E" w:rsidRPr="005405D2">
          <w:rPr>
            <w:rStyle w:val="affa"/>
            <w:rFonts w:cs="Arial"/>
            <w:szCs w:val="28"/>
            <w:lang w:val="ru-RU"/>
          </w:rPr>
          <w:t>-</w:t>
        </w:r>
        <w:r w:rsidR="0058221E" w:rsidRPr="005405D2">
          <w:rPr>
            <w:rStyle w:val="affa"/>
            <w:rFonts w:cs="Arial"/>
            <w:szCs w:val="28"/>
          </w:rPr>
          <w:t>ne</w:t>
        </w:r>
        <w:r w:rsidR="0058221E" w:rsidRPr="005405D2">
          <w:rPr>
            <w:rStyle w:val="affa"/>
            <w:rFonts w:cs="Arial"/>
            <w:szCs w:val="28"/>
            <w:lang w:val="ru-RU"/>
          </w:rPr>
          <w:t>-</w:t>
        </w:r>
        <w:r w:rsidR="0058221E" w:rsidRPr="005405D2">
          <w:rPr>
            <w:rStyle w:val="affa"/>
            <w:rFonts w:cs="Arial"/>
            <w:szCs w:val="28"/>
          </w:rPr>
          <w:t>hvataet</w:t>
        </w:r>
        <w:r w:rsidR="0058221E" w:rsidRPr="005405D2">
          <w:rPr>
            <w:rStyle w:val="affa"/>
            <w:rFonts w:cs="Arial"/>
            <w:szCs w:val="28"/>
            <w:lang w:val="ru-RU"/>
          </w:rPr>
          <w:t>-</w:t>
        </w:r>
        <w:r w:rsidR="0058221E" w:rsidRPr="005405D2">
          <w:rPr>
            <w:rStyle w:val="affa"/>
            <w:rFonts w:cs="Arial"/>
            <w:szCs w:val="28"/>
          </w:rPr>
          <w:t>v</w:t>
        </w:r>
        <w:r w:rsidR="0058221E" w:rsidRPr="005405D2">
          <w:rPr>
            <w:rStyle w:val="affa"/>
            <w:rFonts w:cs="Arial"/>
            <w:szCs w:val="28"/>
            <w:lang w:val="ru-RU"/>
          </w:rPr>
          <w:t>-</w:t>
        </w:r>
        <w:r w:rsidR="0058221E" w:rsidRPr="005405D2">
          <w:rPr>
            <w:rStyle w:val="affa"/>
            <w:rFonts w:cs="Arial"/>
            <w:szCs w:val="28"/>
          </w:rPr>
          <w:t>energetike</w:t>
        </w:r>
        <w:r w:rsidR="0058221E" w:rsidRPr="005405D2">
          <w:rPr>
            <w:rStyle w:val="affa"/>
            <w:rFonts w:cs="Arial"/>
            <w:szCs w:val="28"/>
            <w:lang w:val="ru-RU"/>
          </w:rPr>
          <w:t>-</w:t>
        </w:r>
        <w:r w:rsidR="0058221E" w:rsidRPr="005405D2">
          <w:rPr>
            <w:rStyle w:val="affa"/>
            <w:rFonts w:cs="Arial"/>
            <w:szCs w:val="28"/>
          </w:rPr>
          <w:t>sko</w:t>
        </w:r>
        <w:r w:rsidR="0058221E" w:rsidRPr="005405D2">
          <w:rPr>
            <w:rStyle w:val="affa"/>
            <w:rFonts w:cs="Arial"/>
            <w:szCs w:val="28"/>
            <w:lang w:val="ru-RU"/>
          </w:rPr>
          <w:t>-</w:t>
        </w:r>
        <w:r w:rsidR="0058221E" w:rsidRPr="005405D2">
          <w:rPr>
            <w:rStyle w:val="affa"/>
            <w:rFonts w:cs="Arial"/>
            <w:szCs w:val="28"/>
          </w:rPr>
          <w:t>a</w:t>
        </w:r>
        <w:r w:rsidR="0058221E" w:rsidRPr="005405D2">
          <w:rPr>
            <w:rStyle w:val="affa"/>
            <w:rFonts w:cs="Arial"/>
            <w:szCs w:val="28"/>
            <w:lang w:val="ru-RU"/>
          </w:rPr>
          <w:t>94459?</w:t>
        </w:r>
        <w:r w:rsidR="0058221E" w:rsidRPr="005405D2">
          <w:rPr>
            <w:rStyle w:val="affa"/>
            <w:rFonts w:cs="Arial"/>
            <w:szCs w:val="28"/>
          </w:rPr>
          <w:t>utm</w:t>
        </w:r>
        <w:r w:rsidR="0058221E" w:rsidRPr="005405D2">
          <w:rPr>
            <w:rStyle w:val="affa"/>
            <w:rFonts w:cs="Arial"/>
            <w:szCs w:val="28"/>
            <w:lang w:val="ru-RU"/>
          </w:rPr>
          <w:t>_</w:t>
        </w:r>
        <w:r w:rsidR="0058221E" w:rsidRPr="005405D2">
          <w:rPr>
            <w:rStyle w:val="affa"/>
            <w:rFonts w:cs="Arial"/>
            <w:szCs w:val="28"/>
          </w:rPr>
          <w:t>source</w:t>
        </w:r>
        <w:r w:rsidR="0058221E" w:rsidRPr="005405D2">
          <w:rPr>
            <w:rStyle w:val="affa"/>
            <w:rFonts w:cs="Arial"/>
            <w:szCs w:val="28"/>
            <w:lang w:val="ru-RU"/>
          </w:rPr>
          <w:t>=</w:t>
        </w:r>
        <w:r w:rsidR="0058221E" w:rsidRPr="005405D2">
          <w:rPr>
            <w:rStyle w:val="affa"/>
            <w:rFonts w:cs="Arial"/>
            <w:szCs w:val="28"/>
          </w:rPr>
          <w:t>chatgpt</w:t>
        </w:r>
        <w:r w:rsidR="0058221E" w:rsidRPr="005405D2">
          <w:rPr>
            <w:rStyle w:val="affa"/>
            <w:rFonts w:cs="Arial"/>
            <w:szCs w:val="28"/>
            <w:lang w:val="ru-RU"/>
          </w:rPr>
          <w:t>.</w:t>
        </w:r>
        <w:r w:rsidR="0058221E" w:rsidRPr="005405D2">
          <w:rPr>
            <w:rStyle w:val="affa"/>
            <w:rFonts w:cs="Arial"/>
            <w:szCs w:val="28"/>
          </w:rPr>
          <w:t>com</w:t>
        </w:r>
      </w:hyperlink>
    </w:p>
    <w:p w14:paraId="066C079D" w14:textId="3B0DFD79" w:rsidR="00AC695B" w:rsidRPr="005405D2" w:rsidRDefault="00AC695B" w:rsidP="0058221E">
      <w:pPr>
        <w:spacing w:line="240" w:lineRule="auto"/>
        <w:ind w:left="720"/>
        <w:jc w:val="both"/>
        <w:rPr>
          <w:rFonts w:cs="Arial"/>
          <w:color w:val="000000" w:themeColor="text1"/>
          <w:szCs w:val="28"/>
        </w:rPr>
      </w:pPr>
      <w:r w:rsidRPr="005405D2">
        <w:rPr>
          <w:rFonts w:cs="Arial"/>
          <w:color w:val="000000" w:themeColor="text1"/>
          <w:szCs w:val="28"/>
        </w:rPr>
        <w:t xml:space="preserve">2  Wikipedia. Renewable energy in Denmark – </w:t>
      </w:r>
      <w:hyperlink r:id="rId10" w:history="1">
        <w:r w:rsidR="0058221E" w:rsidRPr="005405D2">
          <w:rPr>
            <w:rStyle w:val="affa"/>
            <w:rFonts w:cs="Arial"/>
            <w:szCs w:val="28"/>
          </w:rPr>
          <w:t>https://en.wikipedia.org/wiki/Renewable_energy_in_Denmark</w:t>
        </w:r>
      </w:hyperlink>
    </w:p>
    <w:p w14:paraId="796CC356" w14:textId="11271408" w:rsidR="00AC695B" w:rsidRPr="005405D2" w:rsidRDefault="00AC695B" w:rsidP="0058221E">
      <w:pPr>
        <w:spacing w:line="240" w:lineRule="auto"/>
        <w:ind w:left="720"/>
        <w:jc w:val="both"/>
        <w:rPr>
          <w:rFonts w:cs="Arial"/>
          <w:color w:val="000000" w:themeColor="text1"/>
          <w:szCs w:val="28"/>
        </w:rPr>
      </w:pPr>
      <w:r w:rsidRPr="005405D2">
        <w:rPr>
          <w:rFonts w:cs="Arial"/>
          <w:color w:val="000000" w:themeColor="text1"/>
          <w:szCs w:val="28"/>
        </w:rPr>
        <w:t xml:space="preserve">3  International Energy Agency. District Heating Modernization – </w:t>
      </w:r>
      <w:hyperlink r:id="rId11" w:history="1">
        <w:r w:rsidR="0058221E" w:rsidRPr="005405D2">
          <w:rPr>
            <w:rStyle w:val="affa"/>
            <w:rFonts w:cs="Arial"/>
            <w:szCs w:val="28"/>
          </w:rPr>
          <w:t>https://www.iea.org</w:t>
        </w:r>
      </w:hyperlink>
    </w:p>
    <w:p w14:paraId="5C8EBF01" w14:textId="018910A6" w:rsidR="00AC695B" w:rsidRPr="005405D2" w:rsidRDefault="00AC695B" w:rsidP="0058221E">
      <w:pPr>
        <w:spacing w:line="240" w:lineRule="auto"/>
        <w:ind w:left="720"/>
        <w:jc w:val="both"/>
        <w:rPr>
          <w:rFonts w:cs="Arial"/>
          <w:color w:val="000000" w:themeColor="text1"/>
          <w:szCs w:val="28"/>
        </w:rPr>
      </w:pPr>
      <w:r w:rsidRPr="005405D2">
        <w:rPr>
          <w:rFonts w:cs="Arial"/>
          <w:color w:val="000000" w:themeColor="text1"/>
          <w:szCs w:val="28"/>
        </w:rPr>
        <w:t xml:space="preserve">4  Bioenergy International. Biomass heating in Austria – </w:t>
      </w:r>
      <w:hyperlink r:id="rId12" w:history="1">
        <w:r w:rsidR="0058221E" w:rsidRPr="005405D2">
          <w:rPr>
            <w:rStyle w:val="affa"/>
            <w:rFonts w:cs="Arial"/>
            <w:szCs w:val="28"/>
          </w:rPr>
          <w:t>https://bioenergyinternational.com</w:t>
        </w:r>
      </w:hyperlink>
    </w:p>
    <w:p w14:paraId="6B427555" w14:textId="1E451B57" w:rsidR="00AC695B" w:rsidRPr="005405D2" w:rsidRDefault="00AC695B" w:rsidP="0058221E">
      <w:pPr>
        <w:spacing w:line="240" w:lineRule="auto"/>
        <w:ind w:left="720"/>
        <w:jc w:val="both"/>
        <w:rPr>
          <w:rFonts w:cs="Arial"/>
          <w:color w:val="000000" w:themeColor="text1"/>
          <w:szCs w:val="28"/>
        </w:rPr>
      </w:pPr>
      <w:r w:rsidRPr="005405D2">
        <w:rPr>
          <w:rFonts w:cs="Arial"/>
          <w:color w:val="000000" w:themeColor="text1"/>
          <w:szCs w:val="28"/>
        </w:rPr>
        <w:t xml:space="preserve">5  POWER Magazine. CHP technologies in the USA – </w:t>
      </w:r>
      <w:hyperlink r:id="rId13" w:history="1">
        <w:r w:rsidR="0058221E" w:rsidRPr="005405D2">
          <w:rPr>
            <w:rStyle w:val="affa"/>
            <w:rFonts w:cs="Arial"/>
            <w:szCs w:val="28"/>
          </w:rPr>
          <w:t>https://www.powermag.com</w:t>
        </w:r>
      </w:hyperlink>
    </w:p>
    <w:p w14:paraId="6F9C3443" w14:textId="1EC785B5" w:rsidR="00AC695B" w:rsidRPr="005405D2" w:rsidRDefault="00AC695B" w:rsidP="0058221E">
      <w:pPr>
        <w:spacing w:line="240" w:lineRule="auto"/>
        <w:ind w:left="720"/>
        <w:jc w:val="both"/>
        <w:rPr>
          <w:rFonts w:cs="Arial"/>
          <w:color w:val="000000" w:themeColor="text1"/>
          <w:szCs w:val="28"/>
        </w:rPr>
      </w:pPr>
      <w:r w:rsidRPr="005405D2">
        <w:rPr>
          <w:rFonts w:cs="Arial"/>
          <w:color w:val="000000" w:themeColor="text1"/>
          <w:szCs w:val="28"/>
        </w:rPr>
        <w:t xml:space="preserve">6  Natural Resources Canada. Modular boiler systems – </w:t>
      </w:r>
      <w:hyperlink r:id="rId14" w:history="1">
        <w:r w:rsidR="0058221E" w:rsidRPr="005405D2">
          <w:rPr>
            <w:rStyle w:val="affa"/>
            <w:rFonts w:cs="Arial"/>
            <w:szCs w:val="28"/>
          </w:rPr>
          <w:t>https://www.nrcan.gc.ca</w:t>
        </w:r>
      </w:hyperlink>
    </w:p>
    <w:p w14:paraId="568DEE3E" w14:textId="0538A3A7" w:rsidR="00AC695B" w:rsidRPr="005405D2" w:rsidRDefault="00AC695B" w:rsidP="0058221E">
      <w:pPr>
        <w:spacing w:line="240" w:lineRule="auto"/>
        <w:ind w:left="720"/>
        <w:jc w:val="both"/>
        <w:rPr>
          <w:rFonts w:cs="Arial"/>
          <w:color w:val="000000" w:themeColor="text1"/>
          <w:szCs w:val="28"/>
        </w:rPr>
      </w:pPr>
      <w:r w:rsidRPr="005405D2">
        <w:rPr>
          <w:rFonts w:cs="Arial"/>
          <w:color w:val="000000" w:themeColor="text1"/>
          <w:szCs w:val="28"/>
        </w:rPr>
        <w:t xml:space="preserve">7  Korea Energy Agency. Smart boiler controls – </w:t>
      </w:r>
      <w:hyperlink r:id="rId15" w:history="1">
        <w:r w:rsidR="0058221E" w:rsidRPr="005405D2">
          <w:rPr>
            <w:rStyle w:val="affa"/>
            <w:rFonts w:cs="Arial"/>
            <w:szCs w:val="28"/>
          </w:rPr>
          <w:t>https://www.koreaenergy.or.kr</w:t>
        </w:r>
      </w:hyperlink>
    </w:p>
    <w:p w14:paraId="1DF99CC3" w14:textId="7E33007A" w:rsidR="00AC695B" w:rsidRPr="005405D2" w:rsidRDefault="00AC695B" w:rsidP="0058221E">
      <w:pPr>
        <w:spacing w:line="240" w:lineRule="auto"/>
        <w:ind w:left="720"/>
        <w:jc w:val="both"/>
        <w:rPr>
          <w:rFonts w:cs="Arial"/>
          <w:color w:val="000000" w:themeColor="text1"/>
          <w:szCs w:val="28"/>
          <w:lang w:val="ru-RU"/>
        </w:rPr>
      </w:pPr>
      <w:r w:rsidRPr="005405D2">
        <w:rPr>
          <w:rFonts w:cs="Arial"/>
          <w:color w:val="000000" w:themeColor="text1"/>
          <w:szCs w:val="28"/>
          <w:lang w:val="ru-RU"/>
        </w:rPr>
        <w:t xml:space="preserve">8  Министерство строительства КНР. Газификация теплоснабжения – </w:t>
      </w:r>
      <w:hyperlink r:id="rId16" w:history="1">
        <w:r w:rsidR="0058221E" w:rsidRPr="005405D2">
          <w:rPr>
            <w:rStyle w:val="affa"/>
            <w:rFonts w:cs="Arial"/>
            <w:szCs w:val="28"/>
            <w:lang w:val="ru-RU"/>
          </w:rPr>
          <w:t>http://www.mohurd.gov.cn</w:t>
        </w:r>
      </w:hyperlink>
    </w:p>
    <w:p w14:paraId="71A1E1ED" w14:textId="3446DE5F" w:rsidR="006D15D1" w:rsidRPr="005405D2" w:rsidRDefault="006D15D1" w:rsidP="00AC695B">
      <w:pPr>
        <w:spacing w:line="240" w:lineRule="auto"/>
        <w:jc w:val="both"/>
        <w:rPr>
          <w:rFonts w:cs="Arial"/>
          <w:color w:val="000000" w:themeColor="text1"/>
          <w:szCs w:val="28"/>
          <w:lang w:val="ru-RU"/>
        </w:rPr>
      </w:pPr>
    </w:p>
    <w:sectPr w:rsidR="006D15D1" w:rsidRPr="005405D2" w:rsidSect="002907DA">
      <w:footerReference w:type="default" r:id="rId17"/>
      <w:pgSz w:w="12240" w:h="15840"/>
      <w:pgMar w:top="1134" w:right="567"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9EF1" w14:textId="77777777" w:rsidR="00A30DF3" w:rsidRDefault="00A30DF3" w:rsidP="00A91503">
      <w:pPr>
        <w:spacing w:after="0" w:line="240" w:lineRule="auto"/>
      </w:pPr>
      <w:r>
        <w:separator/>
      </w:r>
    </w:p>
  </w:endnote>
  <w:endnote w:type="continuationSeparator" w:id="0">
    <w:p w14:paraId="0E8971B1" w14:textId="77777777" w:rsidR="00A30DF3" w:rsidRDefault="00A30DF3" w:rsidP="00A91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087556"/>
      <w:docPartObj>
        <w:docPartGallery w:val="Page Numbers (Bottom of Page)"/>
        <w:docPartUnique/>
      </w:docPartObj>
    </w:sdtPr>
    <w:sdtContent>
      <w:p w14:paraId="6DDFA74D" w14:textId="2CE98A44" w:rsidR="00A91503" w:rsidRDefault="00A91503">
        <w:pPr>
          <w:pStyle w:val="a7"/>
          <w:jc w:val="center"/>
        </w:pPr>
        <w:r>
          <w:fldChar w:fldCharType="begin"/>
        </w:r>
        <w:r>
          <w:instrText>PAGE   \* MERGEFORMAT</w:instrText>
        </w:r>
        <w:r>
          <w:fldChar w:fldCharType="separate"/>
        </w:r>
        <w:r>
          <w:rPr>
            <w:lang w:val="ru-RU"/>
          </w:rPr>
          <w:t>2</w:t>
        </w:r>
        <w:r>
          <w:fldChar w:fldCharType="end"/>
        </w:r>
      </w:p>
    </w:sdtContent>
  </w:sdt>
  <w:p w14:paraId="30417800" w14:textId="77777777" w:rsidR="00A91503" w:rsidRDefault="00A915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3EF3" w14:textId="77777777" w:rsidR="00A30DF3" w:rsidRDefault="00A30DF3" w:rsidP="00A91503">
      <w:pPr>
        <w:spacing w:after="0" w:line="240" w:lineRule="auto"/>
      </w:pPr>
      <w:r>
        <w:separator/>
      </w:r>
    </w:p>
  </w:footnote>
  <w:footnote w:type="continuationSeparator" w:id="0">
    <w:p w14:paraId="0092F0B5" w14:textId="77777777" w:rsidR="00A30DF3" w:rsidRDefault="00A30DF3" w:rsidP="00A91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2C6070F"/>
    <w:multiLevelType w:val="multilevel"/>
    <w:tmpl w:val="F8F2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492A4E"/>
    <w:multiLevelType w:val="multilevel"/>
    <w:tmpl w:val="5338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4D5536"/>
    <w:multiLevelType w:val="multilevel"/>
    <w:tmpl w:val="8E7A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9E4143"/>
    <w:multiLevelType w:val="multilevel"/>
    <w:tmpl w:val="DCDA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17668"/>
    <w:multiLevelType w:val="hybridMultilevel"/>
    <w:tmpl w:val="A476E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4D3ED1"/>
    <w:multiLevelType w:val="multilevel"/>
    <w:tmpl w:val="4F44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63001"/>
    <w:multiLevelType w:val="multilevel"/>
    <w:tmpl w:val="8A98504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6" w15:restartNumberingAfterBreak="0">
    <w:nsid w:val="4665671D"/>
    <w:multiLevelType w:val="hybridMultilevel"/>
    <w:tmpl w:val="219E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813FCA"/>
    <w:multiLevelType w:val="multilevel"/>
    <w:tmpl w:val="AFAC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1C657F"/>
    <w:multiLevelType w:val="multilevel"/>
    <w:tmpl w:val="036A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456D01"/>
    <w:multiLevelType w:val="hybridMultilevel"/>
    <w:tmpl w:val="128AA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1813A6"/>
    <w:multiLevelType w:val="multilevel"/>
    <w:tmpl w:val="D0C6C5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16573097">
    <w:abstractNumId w:val="8"/>
  </w:num>
  <w:num w:numId="2" w16cid:durableId="514807917">
    <w:abstractNumId w:val="6"/>
  </w:num>
  <w:num w:numId="3" w16cid:durableId="325131191">
    <w:abstractNumId w:val="5"/>
  </w:num>
  <w:num w:numId="4" w16cid:durableId="1800372190">
    <w:abstractNumId w:val="4"/>
  </w:num>
  <w:num w:numId="5" w16cid:durableId="1616717713">
    <w:abstractNumId w:val="7"/>
  </w:num>
  <w:num w:numId="6" w16cid:durableId="2034459837">
    <w:abstractNumId w:val="3"/>
  </w:num>
  <w:num w:numId="7" w16cid:durableId="2033603517">
    <w:abstractNumId w:val="2"/>
  </w:num>
  <w:num w:numId="8" w16cid:durableId="1038043679">
    <w:abstractNumId w:val="1"/>
  </w:num>
  <w:num w:numId="9" w16cid:durableId="1698894708">
    <w:abstractNumId w:val="0"/>
  </w:num>
  <w:num w:numId="10" w16cid:durableId="1685551657">
    <w:abstractNumId w:val="15"/>
  </w:num>
  <w:num w:numId="11" w16cid:durableId="758982518">
    <w:abstractNumId w:val="14"/>
  </w:num>
  <w:num w:numId="12" w16cid:durableId="1505629761">
    <w:abstractNumId w:val="19"/>
  </w:num>
  <w:num w:numId="13" w16cid:durableId="278952536">
    <w:abstractNumId w:val="18"/>
  </w:num>
  <w:num w:numId="14" w16cid:durableId="1577780368">
    <w:abstractNumId w:val="10"/>
  </w:num>
  <w:num w:numId="15" w16cid:durableId="2080520038">
    <w:abstractNumId w:val="17"/>
  </w:num>
  <w:num w:numId="16" w16cid:durableId="9171">
    <w:abstractNumId w:val="20"/>
  </w:num>
  <w:num w:numId="17" w16cid:durableId="2092505629">
    <w:abstractNumId w:val="12"/>
  </w:num>
  <w:num w:numId="18" w16cid:durableId="1967614821">
    <w:abstractNumId w:val="11"/>
  </w:num>
  <w:num w:numId="19" w16cid:durableId="1116486597">
    <w:abstractNumId w:val="16"/>
  </w:num>
  <w:num w:numId="20" w16cid:durableId="309141533">
    <w:abstractNumId w:val="13"/>
  </w:num>
  <w:num w:numId="21" w16cid:durableId="1923055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D22"/>
    <w:rsid w:val="000A6C3F"/>
    <w:rsid w:val="000D442F"/>
    <w:rsid w:val="0015074B"/>
    <w:rsid w:val="00174C4D"/>
    <w:rsid w:val="002907DA"/>
    <w:rsid w:val="0029639D"/>
    <w:rsid w:val="002B6FD5"/>
    <w:rsid w:val="002C4493"/>
    <w:rsid w:val="002D77CE"/>
    <w:rsid w:val="002E6CD7"/>
    <w:rsid w:val="00323FC2"/>
    <w:rsid w:val="00326F90"/>
    <w:rsid w:val="00327FCB"/>
    <w:rsid w:val="003330AF"/>
    <w:rsid w:val="003F5653"/>
    <w:rsid w:val="004041ED"/>
    <w:rsid w:val="00492882"/>
    <w:rsid w:val="004A7056"/>
    <w:rsid w:val="004E3808"/>
    <w:rsid w:val="005171EC"/>
    <w:rsid w:val="00531E30"/>
    <w:rsid w:val="005405D2"/>
    <w:rsid w:val="00553A65"/>
    <w:rsid w:val="0058221E"/>
    <w:rsid w:val="005947AC"/>
    <w:rsid w:val="005F1D87"/>
    <w:rsid w:val="006A60DB"/>
    <w:rsid w:val="006D15D1"/>
    <w:rsid w:val="006F7B5B"/>
    <w:rsid w:val="00783554"/>
    <w:rsid w:val="008724EB"/>
    <w:rsid w:val="008C4F39"/>
    <w:rsid w:val="00977F96"/>
    <w:rsid w:val="009D77E5"/>
    <w:rsid w:val="00A30DF3"/>
    <w:rsid w:val="00A545AC"/>
    <w:rsid w:val="00A72769"/>
    <w:rsid w:val="00A91503"/>
    <w:rsid w:val="00AA1D8D"/>
    <w:rsid w:val="00AC695B"/>
    <w:rsid w:val="00B47730"/>
    <w:rsid w:val="00BA7172"/>
    <w:rsid w:val="00CA1CE0"/>
    <w:rsid w:val="00CB0664"/>
    <w:rsid w:val="00CF6BE4"/>
    <w:rsid w:val="00DB2D68"/>
    <w:rsid w:val="00DB4F7D"/>
    <w:rsid w:val="00E2127B"/>
    <w:rsid w:val="00E22429"/>
    <w:rsid w:val="00E30C42"/>
    <w:rsid w:val="00E32B3B"/>
    <w:rsid w:val="00E37EBD"/>
    <w:rsid w:val="00E403EB"/>
    <w:rsid w:val="00E60615"/>
    <w:rsid w:val="00E71EB7"/>
    <w:rsid w:val="00E83F5A"/>
    <w:rsid w:val="00EA5FFF"/>
    <w:rsid w:val="00EE4DDC"/>
    <w:rsid w:val="00F5392B"/>
    <w:rsid w:val="00F54D9C"/>
    <w:rsid w:val="00F60AF3"/>
    <w:rsid w:val="00F650B9"/>
    <w:rsid w:val="00FC6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9F9E0"/>
  <w15:docId w15:val="{FD7C30D6-5E7E-48B1-B7C6-A155EFED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hAnsi="Arial"/>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327FCB"/>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327FCB"/>
    <w:rPr>
      <w:rFonts w:ascii="Tahoma" w:hAnsi="Tahoma" w:cs="Tahoma"/>
      <w:sz w:val="16"/>
      <w:szCs w:val="16"/>
    </w:rPr>
  </w:style>
  <w:style w:type="character" w:styleId="affa">
    <w:name w:val="Hyperlink"/>
    <w:basedOn w:val="a2"/>
    <w:uiPriority w:val="99"/>
    <w:unhideWhenUsed/>
    <w:rsid w:val="00783554"/>
    <w:rPr>
      <w:color w:val="0000FF" w:themeColor="hyperlink"/>
      <w:u w:val="single"/>
    </w:rPr>
  </w:style>
  <w:style w:type="character" w:styleId="affb">
    <w:name w:val="Unresolved Mention"/>
    <w:basedOn w:val="a2"/>
    <w:uiPriority w:val="99"/>
    <w:semiHidden/>
    <w:unhideWhenUsed/>
    <w:rsid w:val="00783554"/>
    <w:rPr>
      <w:color w:val="605E5C"/>
      <w:shd w:val="clear" w:color="auto" w:fill="E1DFDD"/>
    </w:rPr>
  </w:style>
  <w:style w:type="paragraph" w:styleId="affc">
    <w:name w:val="Normal (Web)"/>
    <w:basedOn w:val="a1"/>
    <w:uiPriority w:val="99"/>
    <w:semiHidden/>
    <w:unhideWhenUsed/>
    <w:rsid w:val="0078355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wermag.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oenergyinternationa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ohurd.gov.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a.org" TargetMode="External"/><Relationship Id="rId5" Type="http://schemas.openxmlformats.org/officeDocument/2006/relationships/webSettings" Target="webSettings.xml"/><Relationship Id="rId15" Type="http://schemas.openxmlformats.org/officeDocument/2006/relationships/hyperlink" Target="https://www.koreaenergy.or.kr" TargetMode="External"/><Relationship Id="rId10" Type="http://schemas.openxmlformats.org/officeDocument/2006/relationships/hyperlink" Target="https://en.wikipedia.org/wiki/Renewable_energy_in_Denmar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form.kz/ru/550-spetsialistov-ne-hvataet-v-energetike-sko-a94459?utm_source=chatgpt.com" TargetMode="External"/><Relationship Id="rId14" Type="http://schemas.openxmlformats.org/officeDocument/2006/relationships/hyperlink" Target="https://www.nrcan.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C9A9-A184-41B2-A9A1-1946BE7D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1255</Words>
  <Characters>7154</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29</cp:revision>
  <dcterms:created xsi:type="dcterms:W3CDTF">2025-09-22T14:21:00Z</dcterms:created>
  <dcterms:modified xsi:type="dcterms:W3CDTF">2025-09-25T09:45:00Z</dcterms:modified>
  <cp:category/>
</cp:coreProperties>
</file>