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9544" w:type="dxa"/>
        <w:tblLook w:val="04A0" w:firstRow="1" w:lastRow="0" w:firstColumn="1" w:lastColumn="0" w:noHBand="0" w:noVBand="1"/>
      </w:tblPr>
      <w:tblGrid>
        <w:gridCol w:w="2122"/>
        <w:gridCol w:w="7422"/>
      </w:tblGrid>
      <w:tr w:rsidR="003E00EC" w:rsidRPr="003F6846" w14:paraId="2A8D5EF4" w14:textId="77777777" w:rsidTr="003E00EC">
        <w:tc>
          <w:tcPr>
            <w:tcW w:w="2122" w:type="dxa"/>
          </w:tcPr>
          <w:p w14:paraId="7B1CAF97" w14:textId="4C87EEE4" w:rsidR="003E00EC" w:rsidRPr="00CC25A8" w:rsidRDefault="003E00EC">
            <w:pPr>
              <w:rPr>
                <w:rFonts w:asciiTheme="majorBidi" w:hAnsiTheme="majorBidi" w:cstheme="majorBidi"/>
                <w:lang w:val="ru-RU"/>
              </w:rPr>
            </w:pPr>
            <w:r w:rsidRPr="00CC25A8">
              <w:rPr>
                <w:rFonts w:asciiTheme="majorBidi" w:hAnsiTheme="majorBidi" w:cstheme="majorBidi"/>
                <w:lang w:val="ru-RU"/>
              </w:rPr>
              <w:t>Название работы</w:t>
            </w:r>
          </w:p>
        </w:tc>
        <w:tc>
          <w:tcPr>
            <w:tcW w:w="7422" w:type="dxa"/>
          </w:tcPr>
          <w:p w14:paraId="168940F3" w14:textId="758FF220" w:rsidR="003E00EC" w:rsidRPr="00CC25A8" w:rsidRDefault="005C1A1C" w:rsidP="005C1A1C">
            <w:pPr>
              <w:jc w:val="both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CC25A8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Мемлекеттік аудит жүйесін жетілдіру: қайталану функцияларын талдау</w:t>
            </w:r>
          </w:p>
        </w:tc>
      </w:tr>
      <w:tr w:rsidR="003E00EC" w:rsidRPr="003F6846" w14:paraId="2306DB9E" w14:textId="77777777" w:rsidTr="003E00EC">
        <w:tc>
          <w:tcPr>
            <w:tcW w:w="2122" w:type="dxa"/>
          </w:tcPr>
          <w:p w14:paraId="0C8084B8" w14:textId="79B25F4F" w:rsidR="003E00EC" w:rsidRPr="00CC25A8" w:rsidRDefault="003E00EC">
            <w:pPr>
              <w:rPr>
                <w:rFonts w:asciiTheme="majorBidi" w:hAnsiTheme="majorBidi" w:cstheme="majorBidi"/>
              </w:rPr>
            </w:pPr>
            <w:r w:rsidRPr="00CC25A8">
              <w:rPr>
                <w:rFonts w:asciiTheme="majorBidi" w:hAnsiTheme="majorBidi" w:cstheme="majorBidi"/>
              </w:rPr>
              <w:t>Краткое содержание работы (основные выводы)</w:t>
            </w:r>
          </w:p>
        </w:tc>
        <w:tc>
          <w:tcPr>
            <w:tcW w:w="7422" w:type="dxa"/>
          </w:tcPr>
          <w:p w14:paraId="7CA08010" w14:textId="09B51A7A" w:rsidR="005C1A1C" w:rsidRPr="00CC25A8" w:rsidRDefault="005C1A1C" w:rsidP="005C1A1C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  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Мемлекеттік аудит жүргізу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қызметінде 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сыртқы және ішкі аудиттің функцияларында, олардың аудит түрлеріне, типтеріне, функцияларына қарамастан тәжірибеде бірқатар мәселелер орын алуда. Соның бірі – функциялардың қайталануы.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CC25A8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 xml:space="preserve">Осы уақытқа дейін мемлекеттік аудит жүйесіндегі қайталану функцияларының орын алып жатқаны жайлы сарапшылардың бірқатар пікірі болған, алайда олар әлі өзекті. </w:t>
            </w:r>
            <w:r w:rsidR="00CC25A8" w:rsidRPr="00CC25A8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 xml:space="preserve"> </w:t>
            </w:r>
          </w:p>
          <w:p w14:paraId="397044A9" w14:textId="4E16557B" w:rsidR="00CE5D04" w:rsidRPr="00CC25A8" w:rsidRDefault="005C1A1C" w:rsidP="00CC25A8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CC25A8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CC25A8" w:rsidRPr="00CC25A8">
              <w:rPr>
                <w:rFonts w:ascii="Times New Roman" w:hAnsi="Times New Roman" w:cs="Times New Roman"/>
                <w:lang w:val="kk-KZ"/>
              </w:rPr>
              <w:t xml:space="preserve"> Аталған және өзге де кері әсер етуші факторлар 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ұлттық ресурстардың заңды және тиімді басқарылуына және бюджет қаражатының тиімді пайдаланылуына өзінің 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жағымсыз 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әсерін тигізуі мүмкін. 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Сондықтан бұл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мәселе қазіргі таңда өзекті болып табылады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және 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мемлекеттік аудит жүйесіндегі өзара іс-қимыл бағыты қандай да бір өзгерістерді талап етеді.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Осы орайда мемлекеттік аудит жүйесінің құралы болып табылатын қолданыстағы Заңға, нормативтік-құқықтық актілерге өзгеріс енгізу арқылы қайталанатын функцияларды оңтайландыру арқылы мемлекеттік аудит саласын жетілдіру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қажеттілігі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туындап отыр.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Сондықтан да жобаның н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егізгі зерттеу мақсаты осы бағыттарда және мемлекеттік аудит жүйесінің жаңалану жолдарын іздеу бол</w:t>
            </w:r>
            <w:r w:rsidR="00CC25A8"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ып табылады.</w:t>
            </w:r>
          </w:p>
        </w:tc>
      </w:tr>
      <w:tr w:rsidR="003E00EC" w:rsidRPr="003F6846" w14:paraId="625F0290" w14:textId="77777777" w:rsidTr="003E00EC">
        <w:tc>
          <w:tcPr>
            <w:tcW w:w="2122" w:type="dxa"/>
          </w:tcPr>
          <w:p w14:paraId="5923F62B" w14:textId="1B5F2BFD" w:rsidR="003E00EC" w:rsidRPr="00CC25A8" w:rsidRDefault="003E00EC">
            <w:pPr>
              <w:rPr>
                <w:rFonts w:asciiTheme="majorBidi" w:hAnsiTheme="majorBidi" w:cstheme="majorBidi"/>
                <w:lang w:val="kk-KZ"/>
              </w:rPr>
            </w:pPr>
            <w:r w:rsidRPr="003F6846">
              <w:rPr>
                <w:rFonts w:asciiTheme="majorBidi" w:hAnsiTheme="majorBidi" w:cstheme="majorBidi"/>
              </w:rPr>
              <w:t>Название предмета (в рамках которого подготовлена работа)</w:t>
            </w:r>
          </w:p>
        </w:tc>
        <w:tc>
          <w:tcPr>
            <w:tcW w:w="7422" w:type="dxa"/>
          </w:tcPr>
          <w:p w14:paraId="40490BF2" w14:textId="0B6461B5" w:rsidR="00BE0FF7" w:rsidRPr="00BE0FF7" w:rsidRDefault="00BE0FF7" w:rsidP="00BE0FF7">
            <w:pPr>
              <w:pStyle w:val="a7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BE0FF7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Мемлекеттік аудит жүйесіндегі қайталану функциялары</w:t>
            </w:r>
          </w:p>
          <w:p w14:paraId="53A7AB2F" w14:textId="75686073" w:rsidR="003E00EC" w:rsidRPr="00BE0FF7" w:rsidRDefault="003E00EC">
            <w:pPr>
              <w:rPr>
                <w:rFonts w:asciiTheme="majorBidi" w:hAnsiTheme="majorBidi" w:cstheme="majorBidi"/>
                <w:lang w:val="kk-KZ"/>
              </w:rPr>
            </w:pPr>
          </w:p>
        </w:tc>
      </w:tr>
      <w:tr w:rsidR="003E00EC" w:rsidRPr="003F6846" w14:paraId="73977B98" w14:textId="77777777" w:rsidTr="003E00EC">
        <w:tc>
          <w:tcPr>
            <w:tcW w:w="2122" w:type="dxa"/>
          </w:tcPr>
          <w:p w14:paraId="71F23C01" w14:textId="3658B4B2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Направление работы</w:t>
            </w:r>
          </w:p>
        </w:tc>
        <w:tc>
          <w:tcPr>
            <w:tcW w:w="7422" w:type="dxa"/>
          </w:tcPr>
          <w:p w14:paraId="74F4EF91" w14:textId="33BE1394" w:rsidR="003E00EC" w:rsidRPr="003F6846" w:rsidRDefault="00BE0FF7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  <w:lang w:val="ru-RU"/>
              </w:rPr>
              <w:t>Мемлекеттік</w:t>
            </w:r>
            <w:proofErr w:type="spellEnd"/>
            <w:r>
              <w:rPr>
                <w:rFonts w:asciiTheme="majorBidi" w:hAnsiTheme="majorBidi" w:cstheme="majorBidi"/>
                <w:lang w:val="ru-RU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lang w:val="ru-RU"/>
              </w:rPr>
              <w:t>басқару</w:t>
            </w:r>
            <w:proofErr w:type="spellEnd"/>
          </w:p>
        </w:tc>
      </w:tr>
      <w:tr w:rsidR="003E00EC" w:rsidRPr="003F6846" w14:paraId="44FAA148" w14:textId="77777777" w:rsidTr="003E00EC">
        <w:tc>
          <w:tcPr>
            <w:tcW w:w="2122" w:type="dxa"/>
          </w:tcPr>
          <w:p w14:paraId="156D620B" w14:textId="555C8A69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Команда (участники проекта)</w:t>
            </w:r>
          </w:p>
        </w:tc>
        <w:tc>
          <w:tcPr>
            <w:tcW w:w="7422" w:type="dxa"/>
          </w:tcPr>
          <w:p w14:paraId="37DE36F9" w14:textId="743F8C4F" w:rsidR="009761D2" w:rsidRPr="000D7879" w:rsidRDefault="009761D2" w:rsidP="000D7879">
            <w:pPr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9761D2">
              <w:rPr>
                <w:rFonts w:asciiTheme="majorBidi" w:hAnsiTheme="majorBidi" w:cstheme="majorBidi"/>
              </w:rPr>
              <w:t xml:space="preserve">- </w:t>
            </w:r>
            <w:r w:rsidR="000D7879" w:rsidRPr="000D787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Талғаров Айдос Асқарұлы</w:t>
            </w:r>
            <w:r w:rsidR="000D7879" w:rsidRPr="000D787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, </w:t>
            </w:r>
            <w:r w:rsidR="000A759D" w:rsidRPr="000D7879">
              <w:rPr>
                <w:rFonts w:asciiTheme="majorBidi" w:hAnsiTheme="majorBidi" w:cstheme="majorBidi"/>
                <w:bCs/>
                <w:lang w:val="ru-RU"/>
              </w:rPr>
              <w:t xml:space="preserve">магистрант </w:t>
            </w:r>
            <w:r w:rsidR="000D7879" w:rsidRPr="000D7879">
              <w:rPr>
                <w:rFonts w:asciiTheme="majorBidi" w:hAnsiTheme="majorBidi" w:cstheme="majorBidi"/>
                <w:bCs/>
                <w:lang w:val="ru-RU"/>
              </w:rPr>
              <w:t xml:space="preserve"> </w:t>
            </w:r>
          </w:p>
          <w:p w14:paraId="20570229" w14:textId="6B5D19CD" w:rsidR="003E00EC" w:rsidRPr="000A759D" w:rsidRDefault="009761D2" w:rsidP="009761D2">
            <w:pPr>
              <w:rPr>
                <w:rFonts w:asciiTheme="majorBidi" w:hAnsiTheme="majorBidi" w:cstheme="majorBidi"/>
                <w:lang w:val="ru-RU"/>
              </w:rPr>
            </w:pPr>
            <w:r w:rsidRPr="000D7879">
              <w:rPr>
                <w:rFonts w:asciiTheme="majorBidi" w:hAnsiTheme="majorBidi" w:cstheme="majorBidi"/>
                <w:bCs/>
              </w:rPr>
              <w:t xml:space="preserve">- </w:t>
            </w:r>
            <w:r w:rsidR="000D7879" w:rsidRPr="000D7879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А.С. Жолдыбалина, Ph.D, </w:t>
            </w:r>
            <w:r w:rsidR="000D7879" w:rsidRPr="000D7879">
              <w:rPr>
                <w:rFonts w:asciiTheme="majorBidi" w:hAnsiTheme="majorBidi" w:cstheme="majorBidi"/>
                <w:bCs/>
                <w:lang w:val="kk-KZ" w:bidi="he-IL"/>
              </w:rPr>
              <w:t>МСҰМ профессоры</w:t>
            </w:r>
            <w:r w:rsidR="000D7879" w:rsidRPr="00B734F7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="000D7879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3E00EC" w:rsidRPr="003F6846" w14:paraId="1A0BA7CF" w14:textId="77777777" w:rsidTr="003E00EC">
        <w:tc>
          <w:tcPr>
            <w:tcW w:w="2122" w:type="dxa"/>
          </w:tcPr>
          <w:p w14:paraId="5E0A1E72" w14:textId="42DFC87B" w:rsidR="003E00EC" w:rsidRPr="0012274E" w:rsidRDefault="003E00EC">
            <w:pPr>
              <w:rPr>
                <w:rFonts w:asciiTheme="majorBidi" w:hAnsiTheme="majorBidi" w:cstheme="majorBidi"/>
              </w:rPr>
            </w:pPr>
            <w:r w:rsidRPr="0012274E">
              <w:rPr>
                <w:rFonts w:asciiTheme="majorBidi" w:hAnsiTheme="majorBidi" w:cstheme="majorBidi"/>
              </w:rPr>
              <w:t>Методы исследования</w:t>
            </w:r>
          </w:p>
        </w:tc>
        <w:tc>
          <w:tcPr>
            <w:tcW w:w="7422" w:type="dxa"/>
          </w:tcPr>
          <w:p w14:paraId="58A1653D" w14:textId="6D937757" w:rsidR="0012274E" w:rsidRPr="0012274E" w:rsidRDefault="00CC25A8" w:rsidP="00CC25A8">
            <w:pPr>
              <w:pStyle w:val="a7"/>
              <w:numPr>
                <w:ilvl w:val="0"/>
                <w:numId w:val="1"/>
              </w:numPr>
              <w:tabs>
                <w:tab w:val="left" w:pos="174"/>
              </w:tabs>
              <w:ind w:left="32" w:hanging="32"/>
              <w:jc w:val="both"/>
              <w:rPr>
                <w:rFonts w:asciiTheme="majorBidi" w:hAnsiTheme="majorBidi" w:cstheme="majorBidi"/>
                <w:lang w:val="kk-KZ"/>
              </w:rPr>
            </w:pPr>
            <w:r w:rsidRPr="0012274E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>нормативтік-құқықтық актілерді зерделеу</w:t>
            </w:r>
            <w:r w:rsidR="0012274E" w:rsidRPr="0012274E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>, салыстыру әдісі;</w:t>
            </w:r>
          </w:p>
          <w:p w14:paraId="62824700" w14:textId="2DF37707" w:rsidR="0012274E" w:rsidRPr="0012274E" w:rsidRDefault="00CC25A8" w:rsidP="00CC25A8">
            <w:pPr>
              <w:pStyle w:val="a7"/>
              <w:numPr>
                <w:ilvl w:val="0"/>
                <w:numId w:val="1"/>
              </w:numPr>
              <w:tabs>
                <w:tab w:val="left" w:pos="174"/>
              </w:tabs>
              <w:ind w:left="32" w:hanging="32"/>
              <w:jc w:val="both"/>
              <w:rPr>
                <w:rFonts w:asciiTheme="majorBidi" w:hAnsiTheme="majorBidi" w:cstheme="majorBidi"/>
                <w:lang w:val="kk-KZ"/>
              </w:rPr>
            </w:pPr>
            <w:r w:rsidRPr="0012274E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>сауалнама</w:t>
            </w:r>
            <w:r w:rsidR="0012274E" w:rsidRPr="0012274E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>;</w:t>
            </w:r>
          </w:p>
          <w:p w14:paraId="453EECB5" w14:textId="2FB42B72" w:rsidR="003E00EC" w:rsidRPr="0012274E" w:rsidRDefault="0012274E" w:rsidP="0012274E">
            <w:pPr>
              <w:pStyle w:val="a7"/>
              <w:numPr>
                <w:ilvl w:val="0"/>
                <w:numId w:val="1"/>
              </w:numPr>
              <w:tabs>
                <w:tab w:val="left" w:pos="174"/>
              </w:tabs>
              <w:ind w:left="32" w:hanging="32"/>
              <w:jc w:val="both"/>
              <w:rPr>
                <w:rFonts w:asciiTheme="majorBidi" w:hAnsiTheme="majorBidi" w:cstheme="majorBidi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 xml:space="preserve">сарапшылық </w:t>
            </w:r>
            <w:r w:rsidR="00CC25A8" w:rsidRPr="0012274E"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 xml:space="preserve">сұхбат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  <w:lang w:val="kk-KZ"/>
              </w:rPr>
              <w:t xml:space="preserve"> </w:t>
            </w:r>
          </w:p>
        </w:tc>
      </w:tr>
      <w:tr w:rsidR="003E00EC" w:rsidRPr="003F6846" w14:paraId="6BB4E242" w14:textId="77777777" w:rsidTr="003E00EC">
        <w:tc>
          <w:tcPr>
            <w:tcW w:w="2122" w:type="dxa"/>
          </w:tcPr>
          <w:p w14:paraId="4C3171B0" w14:textId="2FB70168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Обратная связь: справка о внедрении результатов работы для подтверждения практической ценности разработанных рекомендаций и предложений</w:t>
            </w:r>
          </w:p>
        </w:tc>
        <w:tc>
          <w:tcPr>
            <w:tcW w:w="7422" w:type="dxa"/>
          </w:tcPr>
          <w:p w14:paraId="636E95AB" w14:textId="77777777" w:rsidR="002D4C68" w:rsidRPr="002D4C68" w:rsidRDefault="002D4C68" w:rsidP="002D4C68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2D4C68">
              <w:rPr>
                <w:rFonts w:ascii="Times New Roman" w:hAnsi="Times New Roman" w:cs="Times New Roman"/>
                <w:lang w:val="kk-KZ"/>
              </w:rPr>
              <w:t>«Мемлекеттік аудит органдарының мемлекеттік аудит жүргізуде өзара іс-қимыл барысындағы мәселелері» атты ғылыми мақала «Bulletin of the International university of Tourism and Hospitality» ғылыми журналында 2024 жылдың 26 наурызында 1-басылымда жарияланды (МҒТАР 06.73; ӘӨЖ 657.6(574).</w:t>
            </w:r>
          </w:p>
          <w:p w14:paraId="1FE33D56" w14:textId="3D543B2A" w:rsidR="003E00EC" w:rsidRPr="002D4C68" w:rsidRDefault="003E00EC" w:rsidP="00BE0FF7">
            <w:pPr>
              <w:jc w:val="both"/>
              <w:rPr>
                <w:rFonts w:asciiTheme="majorBidi" w:hAnsiTheme="majorBidi" w:cstheme="majorBidi"/>
                <w:lang w:val="kk-KZ"/>
              </w:rPr>
            </w:pPr>
          </w:p>
        </w:tc>
      </w:tr>
      <w:tr w:rsidR="003E00EC" w:rsidRPr="003F6846" w14:paraId="6627BABC" w14:textId="77777777" w:rsidTr="003E00EC">
        <w:tc>
          <w:tcPr>
            <w:tcW w:w="2122" w:type="dxa"/>
          </w:tcPr>
          <w:p w14:paraId="2F7BC61E" w14:textId="2005E430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>Продвижение и распространение результатов (каналы распространения)</w:t>
            </w:r>
          </w:p>
        </w:tc>
        <w:tc>
          <w:tcPr>
            <w:tcW w:w="7422" w:type="dxa"/>
          </w:tcPr>
          <w:p w14:paraId="3A6C41DE" w14:textId="0FCFFD0B" w:rsidR="003E00EC" w:rsidRPr="00875751" w:rsidRDefault="00875751" w:rsidP="00875751">
            <w:pPr>
              <w:jc w:val="both"/>
              <w:rPr>
                <w:rFonts w:asciiTheme="majorBidi" w:hAnsiTheme="majorBidi" w:cstheme="majorBidi"/>
                <w:lang w:val="kk-KZ"/>
              </w:rPr>
            </w:pP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Зерттеу</w:t>
            </w:r>
            <w:proofErr w:type="spellEnd"/>
            <w:r w:rsidRPr="00875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нәтижелері</w:t>
            </w:r>
            <w:proofErr w:type="spellEnd"/>
            <w:r w:rsidRPr="00875751">
              <w:rPr>
                <w:rStyle w:val="ezkurwreuab5ozgtqnkl"/>
                <w:rFonts w:asciiTheme="majorBidi" w:hAnsiTheme="majorBidi" w:cstheme="majorBidi"/>
                <w:lang w:val="kk-KZ"/>
              </w:rPr>
              <w:t>не орай</w:t>
            </w:r>
            <w:r w:rsidRPr="00875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ғылыми</w:t>
            </w:r>
            <w:proofErr w:type="spellEnd"/>
            <w:r w:rsidRPr="00875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мақала</w:t>
            </w:r>
            <w:proofErr w:type="spellEnd"/>
            <w:r w:rsidRPr="00875751">
              <w:rPr>
                <w:rStyle w:val="ezkurwreuab5ozgtqnkl"/>
                <w:rFonts w:asciiTheme="majorBidi" w:hAnsiTheme="majorBidi" w:cstheme="majorBidi"/>
                <w:lang w:val="kk-KZ"/>
              </w:rPr>
              <w:t xml:space="preserve"> жазылып,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конференциялар</w:t>
            </w:r>
            <w:proofErr w:type="spellEnd"/>
            <w:r w:rsidRPr="00875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жинақтарында</w:t>
            </w:r>
            <w:proofErr w:type="spellEnd"/>
            <w:r w:rsidRPr="00875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жарияланды</w:t>
            </w:r>
            <w:proofErr w:type="spellEnd"/>
            <w:r w:rsidRPr="00875751">
              <w:rPr>
                <w:rStyle w:val="ezkurwreuab5ozgtqnkl"/>
                <w:rFonts w:asciiTheme="majorBidi" w:hAnsiTheme="majorBidi" w:cstheme="majorBidi"/>
                <w:lang w:val="kk-KZ"/>
              </w:rPr>
              <w:t xml:space="preserve"> және зерттеу материалдары сарапшылық орталарда талқыланды. Аталған жұмыстар (зерттеу</w:t>
            </w:r>
            <w:r w:rsidRPr="00875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қорытындылары</w:t>
            </w:r>
            <w:proofErr w:type="spellEnd"/>
            <w:r w:rsidRPr="00875751">
              <w:rPr>
                <w:rFonts w:asciiTheme="majorBidi" w:hAnsiTheme="majorBidi" w:cstheme="majorBidi"/>
              </w:rPr>
              <w:t xml:space="preserve"> </w:t>
            </w:r>
            <w:r w:rsidRPr="00875751">
              <w:rPr>
                <w:rStyle w:val="ezkurwreuab5ozgtqnkl"/>
                <w:rFonts w:asciiTheme="majorBidi" w:hAnsiTheme="majorBidi" w:cstheme="majorBidi"/>
              </w:rPr>
              <w:t>мен</w:t>
            </w:r>
            <w:r w:rsidRPr="00875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ұсыны</w:t>
            </w:r>
            <w:proofErr w:type="spellEnd"/>
            <w:r w:rsidRPr="00875751">
              <w:rPr>
                <w:rStyle w:val="ezkurwreuab5ozgtqnkl"/>
                <w:rFonts w:asciiTheme="majorBidi" w:hAnsiTheme="majorBidi" w:cstheme="majorBidi"/>
                <w:lang w:val="kk-KZ"/>
              </w:rPr>
              <w:t>мдары</w:t>
            </w:r>
            <w:r w:rsidRPr="00875751">
              <w:rPr>
                <w:rStyle w:val="ezkurwreuab5ozgtqnkl"/>
                <w:rFonts w:asciiTheme="majorBidi" w:hAnsiTheme="majorBidi" w:cstheme="majorBidi"/>
                <w:lang w:val="kk-KZ"/>
              </w:rPr>
              <w:t>, презентациялар т.б.)</w:t>
            </w:r>
            <w:r w:rsidRPr="00875751">
              <w:rPr>
                <w:rFonts w:asciiTheme="majorBidi" w:hAnsiTheme="majorBidi" w:cstheme="majorBidi"/>
              </w:rPr>
              <w:t xml:space="preserve"> </w:t>
            </w:r>
            <w:r w:rsidRPr="00875751">
              <w:rPr>
                <w:rFonts w:asciiTheme="majorBidi" w:hAnsiTheme="majorBidi" w:cstheme="majorBidi"/>
                <w:lang w:val="kk-KZ"/>
              </w:rPr>
              <w:t xml:space="preserve">осы тақырып аясында ізденуші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көптеген</w:t>
            </w:r>
            <w:proofErr w:type="spellEnd"/>
            <w:r w:rsidRPr="00875751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75751">
              <w:rPr>
                <w:rStyle w:val="ezkurwreuab5ozgtqnkl"/>
                <w:rFonts w:asciiTheme="majorBidi" w:hAnsiTheme="majorBidi" w:cstheme="majorBidi"/>
              </w:rPr>
              <w:t>мамандарға</w:t>
            </w:r>
            <w:proofErr w:type="spellEnd"/>
            <w:r w:rsidRPr="00875751">
              <w:rPr>
                <w:rFonts w:asciiTheme="majorBidi" w:hAnsiTheme="majorBidi" w:cstheme="majorBidi"/>
              </w:rPr>
              <w:t xml:space="preserve"> </w:t>
            </w:r>
            <w:r w:rsidRPr="00875751">
              <w:rPr>
                <w:rStyle w:val="ezkurwreuab5ozgtqnkl"/>
                <w:rFonts w:asciiTheme="majorBidi" w:hAnsiTheme="majorBidi" w:cstheme="majorBidi"/>
                <w:lang w:val="kk-KZ"/>
              </w:rPr>
              <w:t xml:space="preserve">өте пайдалы болмақ. </w:t>
            </w:r>
            <w:r w:rsidRPr="00875751">
              <w:rPr>
                <w:rFonts w:asciiTheme="majorBidi" w:hAnsiTheme="majorBidi" w:cstheme="majorBidi"/>
                <w:lang w:val="kk-KZ"/>
              </w:rPr>
              <w:t xml:space="preserve"> </w:t>
            </w:r>
            <w:r w:rsidRPr="00875751">
              <w:rPr>
                <w:rStyle w:val="ezkurwreuab5ozgtqnkl"/>
                <w:rFonts w:asciiTheme="majorBidi" w:hAnsiTheme="majorBidi" w:cstheme="majorBidi"/>
                <w:lang w:val="kk-KZ"/>
              </w:rPr>
              <w:t xml:space="preserve"> </w:t>
            </w:r>
          </w:p>
        </w:tc>
      </w:tr>
      <w:tr w:rsidR="003E00EC" w:rsidRPr="003F6846" w14:paraId="75CBB6A9" w14:textId="77777777" w:rsidTr="003E00EC">
        <w:tc>
          <w:tcPr>
            <w:tcW w:w="2122" w:type="dxa"/>
          </w:tcPr>
          <w:p w14:paraId="22796B04" w14:textId="79F4553A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 xml:space="preserve">Трудности (что мешало и могло </w:t>
            </w:r>
            <w:r w:rsidRPr="003F6846">
              <w:rPr>
                <w:rFonts w:asciiTheme="majorBidi" w:hAnsiTheme="majorBidi" w:cstheme="majorBidi"/>
              </w:rPr>
              <w:lastRenderedPageBreak/>
              <w:t>помешать, как вы с этим справились)</w:t>
            </w:r>
          </w:p>
        </w:tc>
        <w:tc>
          <w:tcPr>
            <w:tcW w:w="7422" w:type="dxa"/>
          </w:tcPr>
          <w:p w14:paraId="270B410F" w14:textId="1DF19875" w:rsidR="003E00EC" w:rsidRPr="003F6846" w:rsidRDefault="008C36F0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kk-KZ"/>
              </w:rPr>
              <w:lastRenderedPageBreak/>
              <w:t>С</w:t>
            </w:r>
            <w:proofErr w:type="spellStart"/>
            <w:r w:rsidRPr="00211FF3">
              <w:rPr>
                <w:rFonts w:asciiTheme="majorBidi" w:hAnsiTheme="majorBidi" w:cstheme="majorBidi"/>
              </w:rPr>
              <w:t>ауалнама</w:t>
            </w:r>
            <w:proofErr w:type="spellEnd"/>
            <w:r w:rsidRPr="00211FF3">
              <w:rPr>
                <w:rStyle w:val="ezkurwreuab5ozgtqnkl"/>
                <w:rFonts w:asciiTheme="majorBidi" w:hAnsiTheme="majorBidi" w:cstheme="majorBidi"/>
              </w:rPr>
              <w:t xml:space="preserve"> </w:t>
            </w:r>
            <w:r>
              <w:rPr>
                <w:rStyle w:val="ezkurwreuab5ozgtqnkl"/>
                <w:rFonts w:asciiTheme="majorBidi" w:hAnsiTheme="majorBidi" w:cstheme="majorBidi"/>
                <w:lang w:val="kk-KZ"/>
              </w:rPr>
              <w:t>және</w:t>
            </w:r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 xml:space="preserve"> </w:t>
            </w:r>
            <w:proofErr w:type="spellStart"/>
            <w:r w:rsidRPr="00211FF3">
              <w:rPr>
                <w:rStyle w:val="ezkurwreuab5ozgtqnkl"/>
                <w:rFonts w:asciiTheme="majorBidi" w:hAnsiTheme="majorBidi" w:cstheme="majorBidi"/>
              </w:rPr>
              <w:t>сарап</w:t>
            </w:r>
            <w:proofErr w:type="spellEnd"/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>шы</w:t>
            </w:r>
            <w:proofErr w:type="spellStart"/>
            <w:r w:rsidRPr="00211FF3">
              <w:rPr>
                <w:rStyle w:val="ezkurwreuab5ozgtqnkl"/>
                <w:rFonts w:asciiTheme="majorBidi" w:hAnsiTheme="majorBidi" w:cstheme="majorBidi"/>
              </w:rPr>
              <w:t>лық</w:t>
            </w:r>
            <w:proofErr w:type="spellEnd"/>
            <w:r w:rsidRPr="00211F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11FF3">
              <w:rPr>
                <w:rStyle w:val="ezkurwreuab5ozgtqnkl"/>
                <w:rFonts w:asciiTheme="majorBidi" w:hAnsiTheme="majorBidi" w:cstheme="majorBidi"/>
              </w:rPr>
              <w:t>сұхбат</w:t>
            </w:r>
            <w:proofErr w:type="spellEnd"/>
            <w:r w:rsidRPr="00211F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11FF3">
              <w:rPr>
                <w:rStyle w:val="ezkurwreuab5ozgtqnkl"/>
                <w:rFonts w:asciiTheme="majorBidi" w:hAnsiTheme="majorBidi" w:cstheme="majorBidi"/>
              </w:rPr>
              <w:t>жүргізу</w:t>
            </w:r>
            <w:proofErr w:type="spellEnd"/>
            <w:r w:rsidRPr="00211FF3">
              <w:rPr>
                <w:rStyle w:val="ezkurwreuab5ozgtqnkl"/>
                <w:rFonts w:asciiTheme="majorBidi" w:hAnsiTheme="majorBidi" w:cstheme="majorBidi"/>
                <w:lang w:val="kk-KZ"/>
              </w:rPr>
              <w:t>де аздаған</w:t>
            </w:r>
            <w:r w:rsidRPr="00211FF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11FF3">
              <w:rPr>
                <w:rFonts w:asciiTheme="majorBidi" w:hAnsiTheme="majorBidi" w:cstheme="majorBidi"/>
              </w:rPr>
              <w:t>қиындықтар</w:t>
            </w:r>
            <w:proofErr w:type="spellEnd"/>
            <w:r w:rsidRPr="00211FF3">
              <w:rPr>
                <w:rFonts w:asciiTheme="majorBidi" w:hAnsiTheme="majorBidi" w:cstheme="majorBidi"/>
                <w:lang w:val="kk-KZ"/>
              </w:rPr>
              <w:t xml:space="preserve"> болды</w:t>
            </w:r>
            <w:r w:rsidRPr="009F2E69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3E00EC" w:rsidRPr="003F6846" w14:paraId="045C3151" w14:textId="77777777" w:rsidTr="003E00EC">
        <w:tc>
          <w:tcPr>
            <w:tcW w:w="2122" w:type="dxa"/>
          </w:tcPr>
          <w:p w14:paraId="1008B8C3" w14:textId="37A8D18F" w:rsidR="003E00EC" w:rsidRPr="003F6846" w:rsidRDefault="003E00EC">
            <w:pPr>
              <w:rPr>
                <w:rFonts w:asciiTheme="majorBidi" w:hAnsiTheme="majorBidi" w:cstheme="majorBidi"/>
              </w:rPr>
            </w:pPr>
            <w:r w:rsidRPr="003F6846">
              <w:rPr>
                <w:rFonts w:asciiTheme="majorBidi" w:hAnsiTheme="majorBidi" w:cstheme="majorBidi"/>
              </w:rPr>
              <w:t xml:space="preserve">Прилагаемые материалы: отчет (pdf), </w:t>
            </w:r>
            <w:r w:rsidRPr="003F6846">
              <w:rPr>
                <w:rFonts w:asciiTheme="majorBidi" w:hAnsiTheme="majorBidi" w:cstheme="majorBidi"/>
                <w:lang w:val="ru-RU"/>
              </w:rPr>
              <w:t>презент</w:t>
            </w:r>
            <w:r w:rsidR="004F697D" w:rsidRPr="003F6846">
              <w:rPr>
                <w:rFonts w:asciiTheme="majorBidi" w:hAnsiTheme="majorBidi" w:cstheme="majorBidi"/>
                <w:lang w:val="ru-RU"/>
              </w:rPr>
              <w:t>а</w:t>
            </w:r>
            <w:r w:rsidRPr="003F6846">
              <w:rPr>
                <w:rFonts w:asciiTheme="majorBidi" w:hAnsiTheme="majorBidi" w:cstheme="majorBidi"/>
                <w:lang w:val="ru-RU"/>
              </w:rPr>
              <w:t xml:space="preserve">ция, </w:t>
            </w:r>
            <w:r w:rsidRPr="003F6846">
              <w:rPr>
                <w:rFonts w:asciiTheme="majorBidi" w:hAnsiTheme="majorBidi" w:cstheme="majorBidi"/>
              </w:rPr>
              <w:t>дополнительные материалы ( вопросник, видео, тизер, ссылки на публикации в соц сетях</w:t>
            </w:r>
          </w:p>
        </w:tc>
        <w:tc>
          <w:tcPr>
            <w:tcW w:w="7422" w:type="dxa"/>
          </w:tcPr>
          <w:p w14:paraId="39A4DA6C" w14:textId="4CA1A172" w:rsidR="003E00EC" w:rsidRPr="00875751" w:rsidRDefault="00875751">
            <w:pPr>
              <w:rPr>
                <w:rFonts w:asciiTheme="majorBidi" w:hAnsiTheme="majorBidi" w:cstheme="majorBidi"/>
              </w:rPr>
            </w:pPr>
            <w:proofErr w:type="spellStart"/>
            <w:r w:rsidRPr="00875751">
              <w:rPr>
                <w:rFonts w:asciiTheme="majorBidi" w:hAnsiTheme="majorBidi" w:cstheme="majorBidi"/>
                <w:lang w:val="ru-RU"/>
              </w:rPr>
              <w:t>Мақала</w:t>
            </w:r>
            <w:proofErr w:type="spellEnd"/>
            <w:r w:rsidRPr="00875751">
              <w:rPr>
                <w:rFonts w:asciiTheme="majorBidi" w:hAnsiTheme="majorBidi" w:cstheme="majorBidi"/>
                <w:lang w:val="ru-RU"/>
              </w:rPr>
              <w:t xml:space="preserve">, </w:t>
            </w:r>
            <w:r w:rsidR="009F2E69" w:rsidRPr="00875751">
              <w:rPr>
                <w:rFonts w:asciiTheme="majorBidi" w:hAnsiTheme="majorBidi" w:cstheme="majorBidi"/>
                <w:lang w:val="ru-RU"/>
              </w:rPr>
              <w:t>презентация</w:t>
            </w:r>
          </w:p>
        </w:tc>
      </w:tr>
      <w:tr w:rsidR="003E00EC" w:rsidRPr="003F6846" w14:paraId="47AB44DF" w14:textId="77777777" w:rsidTr="003E00EC">
        <w:tc>
          <w:tcPr>
            <w:tcW w:w="2122" w:type="dxa"/>
          </w:tcPr>
          <w:p w14:paraId="5CC80708" w14:textId="09C0078E" w:rsidR="003E00EC" w:rsidRPr="00CC25A8" w:rsidRDefault="003E00EC">
            <w:pPr>
              <w:rPr>
                <w:rFonts w:asciiTheme="majorBidi" w:hAnsiTheme="majorBidi" w:cstheme="majorBidi"/>
              </w:rPr>
            </w:pPr>
            <w:r w:rsidRPr="00CC25A8">
              <w:rPr>
                <w:rFonts w:asciiTheme="majorBidi" w:hAnsiTheme="majorBidi" w:cstheme="majorBidi"/>
              </w:rPr>
              <w:t>Ключевые слова</w:t>
            </w:r>
          </w:p>
        </w:tc>
        <w:tc>
          <w:tcPr>
            <w:tcW w:w="7422" w:type="dxa"/>
          </w:tcPr>
          <w:p w14:paraId="00C2AE74" w14:textId="040D3942" w:rsidR="003E00EC" w:rsidRPr="00CC25A8" w:rsidRDefault="005C1A1C" w:rsidP="005C1A1C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</w:pP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О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рталық мемлекеттік орган;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жергілікті атқарушы орган;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аудит; 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аудиторлық 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органдар; </w:t>
            </w:r>
            <w:r w:rsidRPr="00CC25A8">
              <w:rPr>
                <w:rFonts w:ascii="Times New Roman" w:hAnsi="Times New Roman" w:cs="Times New Roman"/>
                <w:lang w:val="kk-KZ"/>
              </w:rPr>
              <w:t>мемлекеттік аудит және қаржылық бақылау</w:t>
            </w:r>
            <w:r w:rsidRPr="00CC25A8">
              <w:rPr>
                <w:rFonts w:ascii="Times New Roman" w:hAnsi="Times New Roman" w:cs="Times New Roman"/>
                <w:lang w:val="kk-KZ"/>
              </w:rPr>
              <w:t>;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Pr="00CC25A8">
              <w:rPr>
                <w:rFonts w:ascii="Times New Roman" w:hAnsi="Times New Roman" w:cs="Times New Roman"/>
                <w:color w:val="000000"/>
                <w:spacing w:val="2"/>
                <w:shd w:val="clear" w:color="auto" w:fill="FFFFFF"/>
                <w:lang w:val="kk-KZ"/>
              </w:rPr>
              <w:t>тексеру комиссиялары</w:t>
            </w:r>
          </w:p>
        </w:tc>
      </w:tr>
    </w:tbl>
    <w:p w14:paraId="141DA98B" w14:textId="77777777" w:rsidR="003E00EC" w:rsidRPr="003F6846" w:rsidRDefault="003E00EC">
      <w:pPr>
        <w:rPr>
          <w:rFonts w:asciiTheme="majorBidi" w:hAnsiTheme="majorBidi" w:cstheme="majorBidi"/>
        </w:rPr>
      </w:pPr>
    </w:p>
    <w:sectPr w:rsidR="003E00EC" w:rsidRPr="003F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2EB3"/>
    <w:multiLevelType w:val="hybridMultilevel"/>
    <w:tmpl w:val="13643912"/>
    <w:lvl w:ilvl="0" w:tplc="DDF47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  <w:u w:val="none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15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0EC"/>
    <w:rsid w:val="00066316"/>
    <w:rsid w:val="000A759D"/>
    <w:rsid w:val="000D346D"/>
    <w:rsid w:val="000D7879"/>
    <w:rsid w:val="0012274E"/>
    <w:rsid w:val="002072F5"/>
    <w:rsid w:val="002D4C68"/>
    <w:rsid w:val="002E173B"/>
    <w:rsid w:val="003E00EC"/>
    <w:rsid w:val="003F6846"/>
    <w:rsid w:val="004F697D"/>
    <w:rsid w:val="00566D44"/>
    <w:rsid w:val="005C1A1C"/>
    <w:rsid w:val="00875751"/>
    <w:rsid w:val="008C36F0"/>
    <w:rsid w:val="009761D2"/>
    <w:rsid w:val="009F2E69"/>
    <w:rsid w:val="00AA782D"/>
    <w:rsid w:val="00B639C4"/>
    <w:rsid w:val="00BE0FF7"/>
    <w:rsid w:val="00CC25A8"/>
    <w:rsid w:val="00CE5D04"/>
    <w:rsid w:val="00F1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6CAAC"/>
  <w15:chartTrackingRefBased/>
  <w15:docId w15:val="{292DCD74-2929-4B37-970B-64B6C790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00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0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0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0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0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0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0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0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00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00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00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00E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00E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00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00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00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00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00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0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0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00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E0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00EC"/>
    <w:rPr>
      <w:i/>
      <w:iCs/>
      <w:color w:val="404040" w:themeColor="text1" w:themeTint="BF"/>
    </w:rPr>
  </w:style>
  <w:style w:type="paragraph" w:styleId="a7">
    <w:name w:val="List Paragraph"/>
    <w:aliases w:val="маркированный,без абзаца,List Paragraph,ПАРАГРАФ,References,Абзац списка7,Абзац списка71,Абзац списка8,List Paragraph1,Абзац с отступом,List Paragraph (numbered (a)),WB Para,List Square,Абзац,Heading1,Colorful List - Accent 11,Bullet List"/>
    <w:basedOn w:val="a"/>
    <w:link w:val="a8"/>
    <w:uiPriority w:val="34"/>
    <w:qFormat/>
    <w:rsid w:val="003E00EC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3E00EC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3E00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3E00EC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3E00EC"/>
    <w:rPr>
      <w:b/>
      <w:bCs/>
      <w:smallCaps/>
      <w:color w:val="0F4761" w:themeColor="accent1" w:themeShade="BF"/>
      <w:spacing w:val="5"/>
    </w:rPr>
  </w:style>
  <w:style w:type="table" w:styleId="ad">
    <w:name w:val="Table Grid"/>
    <w:basedOn w:val="a1"/>
    <w:uiPriority w:val="39"/>
    <w:rsid w:val="003E0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аркированный Знак,без абзаца Знак,List Paragraph Знак,ПАРАГРАФ Знак,References Знак,Абзац списка7 Знак,Абзац списка71 Знак,Абзац списка8 Знак,List Paragraph1 Знак,Абзац с отступом Знак,List Paragraph (numbered (a)) Знак,WB Para Знак"/>
    <w:basedOn w:val="a0"/>
    <w:link w:val="a7"/>
    <w:uiPriority w:val="34"/>
    <w:qFormat/>
    <w:locked/>
    <w:rsid w:val="00CE5D04"/>
  </w:style>
  <w:style w:type="character" w:customStyle="1" w:styleId="ezkurwreuab5ozgtqnkl">
    <w:name w:val="ezkurwreuab5ozgtqnkl"/>
    <w:basedOn w:val="a0"/>
    <w:rsid w:val="008C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Баглан Серикбаева</dc:creator>
  <cp:keywords/>
  <dc:description/>
  <cp:lastModifiedBy>Аскар Кенжеев</cp:lastModifiedBy>
  <cp:revision>6</cp:revision>
  <dcterms:created xsi:type="dcterms:W3CDTF">2024-06-21T11:58:00Z</dcterms:created>
  <dcterms:modified xsi:type="dcterms:W3CDTF">2024-06-27T08:02:00Z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-1465014290</vt:i4>
  </property>
  <property fmtid="{D5CDD505-2E9C-101B-9397-08002B2CF9AE}" pid="3" name="_NewReviewCycle">
    <vt:lpwstr/>
  </property>
  <property fmtid="{D5CDD505-2E9C-101B-9397-08002B2CF9AE}" pid="4" name="_EmailSubject">
    <vt:lpwstr>Кейстер </vt:lpwstr>
  </property>
  <property fmtid="{D5CDD505-2E9C-101B-9397-08002B2CF9AE}" pid="5" name="_AuthorEmail">
    <vt:lpwstr>a.moldaniyazov@apa.kz</vt:lpwstr>
  </property>
  <property fmtid="{D5CDD505-2E9C-101B-9397-08002B2CF9AE}" pid="6" name="_AuthorEmailDisplayName">
    <vt:lpwstr>Алибек Молданиязов</vt:lpwstr>
  </property>
  <property fmtid="{D5CDD505-2E9C-101B-9397-08002B2CF9AE}" pid="8" name="_PreviousAdHocReviewCycleID">
    <vt:i4>2139928065</vt:i4>
  </property>
</Properties>
</file>