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C5" w:rsidRPr="00F93701" w:rsidRDefault="00FA0BC5" w:rsidP="00FA0BC5">
      <w:pPr>
        <w:spacing w:after="0" w:line="240" w:lineRule="auto"/>
        <w:jc w:val="both"/>
        <w:rPr>
          <w:rFonts w:ascii="Arial" w:hAnsi="Arial" w:cs="Arial"/>
          <w:sz w:val="28"/>
        </w:rPr>
      </w:pPr>
      <w:r w:rsidRPr="0014582E">
        <w:rPr>
          <w:rFonts w:ascii="Arial" w:hAnsi="Arial" w:cs="Arial"/>
          <w:b/>
          <w:sz w:val="28"/>
        </w:rPr>
        <w:t>Кому:</w:t>
      </w:r>
      <w:r w:rsidRPr="00F93701">
        <w:rPr>
          <w:rFonts w:ascii="Arial" w:hAnsi="Arial" w:cs="Arial"/>
          <w:sz w:val="28"/>
        </w:rPr>
        <w:t xml:space="preserve"> Апп</w:t>
      </w:r>
      <w:r w:rsidR="00800384" w:rsidRPr="00F93701">
        <w:rPr>
          <w:rFonts w:ascii="Arial" w:hAnsi="Arial" w:cs="Arial"/>
          <w:sz w:val="28"/>
        </w:rPr>
        <w:t>арат</w:t>
      </w:r>
      <w:r w:rsidRPr="00F93701">
        <w:rPr>
          <w:rFonts w:ascii="Arial" w:hAnsi="Arial" w:cs="Arial"/>
          <w:sz w:val="28"/>
        </w:rPr>
        <w:t xml:space="preserve"> Правительства Республики Казахстан.</w:t>
      </w:r>
    </w:p>
    <w:p w:rsidR="00FA0BC5" w:rsidRPr="00F93701" w:rsidRDefault="00FA0BC5" w:rsidP="00FA0BC5">
      <w:pPr>
        <w:spacing w:after="0" w:line="240" w:lineRule="auto"/>
        <w:jc w:val="both"/>
        <w:rPr>
          <w:rFonts w:ascii="Arial" w:hAnsi="Arial" w:cs="Arial"/>
          <w:sz w:val="28"/>
        </w:rPr>
      </w:pPr>
      <w:r w:rsidRPr="0014582E">
        <w:rPr>
          <w:rFonts w:ascii="Arial" w:hAnsi="Arial" w:cs="Arial"/>
          <w:b/>
          <w:sz w:val="28"/>
        </w:rPr>
        <w:t>Автор:</w:t>
      </w:r>
      <w:r w:rsidRPr="00F93701">
        <w:rPr>
          <w:rFonts w:ascii="Arial" w:hAnsi="Arial" w:cs="Arial"/>
          <w:sz w:val="28"/>
        </w:rPr>
        <w:t xml:space="preserve"> Мукашева М.М., руководитель управления государственного земельного кадастра Комитета по управлению земельными ресурсами Министерства сельского хозяйства Республики Казахстан</w:t>
      </w:r>
    </w:p>
    <w:p w:rsidR="00FA0BC5" w:rsidRPr="00F93701" w:rsidRDefault="007768C1" w:rsidP="00FA0BC5">
      <w:pPr>
        <w:spacing w:after="0" w:line="240" w:lineRule="auto"/>
        <w:jc w:val="both"/>
        <w:rPr>
          <w:rFonts w:ascii="Arial" w:hAnsi="Arial" w:cs="Arial"/>
          <w:sz w:val="28"/>
        </w:rPr>
      </w:pPr>
      <w:r w:rsidRPr="0014582E">
        <w:rPr>
          <w:rFonts w:ascii="Arial" w:hAnsi="Arial" w:cs="Arial"/>
          <w:b/>
          <w:sz w:val="28"/>
          <w:lang w:val="kk-KZ"/>
        </w:rPr>
        <w:t>Дата:</w:t>
      </w:r>
      <w:r w:rsidRPr="00F93701">
        <w:rPr>
          <w:rFonts w:ascii="Arial" w:hAnsi="Arial" w:cs="Arial"/>
          <w:sz w:val="28"/>
          <w:lang w:val="kk-KZ"/>
        </w:rPr>
        <w:t xml:space="preserve"> 13</w:t>
      </w:r>
      <w:r w:rsidRPr="00F93701">
        <w:rPr>
          <w:rFonts w:ascii="Arial" w:hAnsi="Arial" w:cs="Arial"/>
          <w:sz w:val="28"/>
        </w:rPr>
        <w:t>.02.2024 года</w:t>
      </w:r>
    </w:p>
    <w:p w:rsidR="00F93701" w:rsidRDefault="00F93701" w:rsidP="00F93701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F93701" w:rsidRPr="00F93701" w:rsidRDefault="00F93701" w:rsidP="00F9370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93701">
        <w:rPr>
          <w:rFonts w:ascii="Arial" w:hAnsi="Arial" w:cs="Arial"/>
          <w:b/>
          <w:sz w:val="28"/>
        </w:rPr>
        <w:t>АНАЛИТИЧЕСКАЯ ЗАПИСКА</w:t>
      </w:r>
    </w:p>
    <w:p w:rsidR="00F93701" w:rsidRPr="00F93701" w:rsidRDefault="00F93701" w:rsidP="00F93701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F93701" w:rsidRPr="00F93701" w:rsidRDefault="00F93701" w:rsidP="00F93701">
      <w:pPr>
        <w:spacing w:after="0" w:line="240" w:lineRule="auto"/>
        <w:jc w:val="both"/>
        <w:rPr>
          <w:rFonts w:ascii="Arial" w:hAnsi="Arial" w:cs="Arial"/>
          <w:sz w:val="28"/>
        </w:rPr>
      </w:pPr>
      <w:r w:rsidRPr="00DE1ABA">
        <w:rPr>
          <w:rFonts w:ascii="Arial" w:hAnsi="Arial" w:cs="Arial"/>
          <w:b/>
          <w:sz w:val="28"/>
        </w:rPr>
        <w:t>Тема:</w:t>
      </w:r>
      <w:r w:rsidRPr="00F93701">
        <w:rPr>
          <w:rFonts w:ascii="Arial" w:hAnsi="Arial" w:cs="Arial"/>
          <w:sz w:val="28"/>
        </w:rPr>
        <w:t xml:space="preserve"> Проблемы установления границ населенных пунктов на местности при регулировании земельных отношений</w:t>
      </w:r>
    </w:p>
    <w:p w:rsidR="00FA0BC5" w:rsidRPr="00F93701" w:rsidRDefault="00FA0BC5" w:rsidP="00FA0BC5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FA0BC5" w:rsidRPr="00FA0BC5" w:rsidRDefault="00FA0BC5" w:rsidP="00FA0BC5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Острым проблемным вопросом при регулировании земельных отношений является отсутствие четко установленных на местности границ населенных пунктов, их черты, а также административных границ, что приводит к коррупционным рискам со стороны субъектов земельных отношений, в том числе МИО, а также многократные жалобы со стороны населения.</w:t>
      </w:r>
    </w:p>
    <w:p w:rsidR="00FA0BC5" w:rsidRPr="00FA0BC5" w:rsidRDefault="00FA0BC5" w:rsidP="00FA0BC5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Наличие вышеперечисленных проблемных вопросов приводит к недоимке в государственный бюджет средств от налогообложения и арендно</w:t>
      </w:r>
      <w:r w:rsidR="00C577B9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й платы, превышение компетенции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акимами</w:t>
      </w:r>
      <w:r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различных уровней при предоставлении земельных участков, что влечет уголовную ответственность, нарушение прав собственников земельных участков и землепользователей, не возможность осуществления государственного контроля за использованием и охраной земель.</w:t>
      </w:r>
    </w:p>
    <w:p w:rsidR="00FA0BC5" w:rsidRPr="00FA0BC5" w:rsidRDefault="00FA0BC5" w:rsidP="00FA0BC5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изменении границы (черты) населенных пунктов у местных исполнительных органов отсутствует понимание разницы между административным подчинением территории к городской администрации и землями населенных пунктов в пределах установленной границы (черты) населенного пункта с соответствующим подтверждением в виде нормативных актов.</w:t>
      </w:r>
    </w:p>
    <w:p w:rsidR="00FA0BC5" w:rsidRPr="00FA0BC5" w:rsidRDefault="00FA0BC5" w:rsidP="00FA0BC5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этом, черта населенных пунктов согласно ст. 107 Земельного кодекса</w:t>
      </w:r>
      <w:r w:rsidR="00D54EBB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Республики Казахстан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отделяет территорию от других административно-территориальных единиц и с</w:t>
      </w:r>
      <w:r w:rsidR="00FC4FB9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оответственно других категорий.</w:t>
      </w:r>
    </w:p>
    <w:p w:rsidR="00FA0BC5" w:rsidRPr="00FA0BC5" w:rsidRDefault="008B3340" w:rsidP="00FA0BC5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То есть </w:t>
      </w:r>
      <w:r w:rsidR="00FA0BC5" w:rsidRPr="00FA0B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черта является внешним пределом (границей) при определении категории населенных пунктов</w:t>
      </w:r>
      <w:r w:rsidR="00FA0BC5"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</w:t>
      </w:r>
    </w:p>
    <w:p w:rsidR="00FA0BC5" w:rsidRPr="00FA0BC5" w:rsidRDefault="00FA0BC5" w:rsidP="00FA0BC5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Отнесение к данной категории определяет режим использования в соответствии с градостроительной документацией, изменяет налогообложение в соответствии с категорией, а, следовательно, и другие платежи за землю.</w:t>
      </w:r>
    </w:p>
    <w:p w:rsidR="00FA0BC5" w:rsidRPr="00FA0BC5" w:rsidRDefault="00FA0BC5" w:rsidP="00FA0BC5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Граница (черта) городов в большинстве случаев не соответствует генеральным планам. </w:t>
      </w:r>
    </w:p>
    <w:p w:rsidR="00FA0BC5" w:rsidRPr="00FA0BC5" w:rsidRDefault="002D46FB" w:rsidP="00FA0BC5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701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К примеру, р</w:t>
      </w:r>
      <w:r w:rsidR="00FA0BC5" w:rsidRPr="00FA0BC5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асширение границ горо</w:t>
      </w:r>
      <w:r w:rsidR="00C6695A" w:rsidRPr="00F93701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да Алматы было проведено в 2012 </w:t>
      </w:r>
      <w:r w:rsidR="00FA0BC5" w:rsidRPr="00FA0BC5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году</w:t>
      </w:r>
      <w:r w:rsidR="00EF2293" w:rsidRPr="00F93701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[1]</w:t>
      </w:r>
      <w:r w:rsidR="00FA0BC5" w:rsidRPr="00FA0BC5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, при этом генеральный план на присоединенные территории был утвержден в мае т.г.</w:t>
      </w:r>
      <w:r w:rsidRPr="00F93701">
        <w:rPr>
          <w:rFonts w:ascii="Arial" w:hAnsi="Arial" w:cs="Arial"/>
        </w:rPr>
        <w:t xml:space="preserve"> </w:t>
      </w:r>
      <w:r w:rsidRPr="00F93701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[2].</w:t>
      </w:r>
    </w:p>
    <w:p w:rsidR="00FA0BC5" w:rsidRPr="00FA0BC5" w:rsidRDefault="00FA0BC5" w:rsidP="00FA0BC5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Согласно п.3 ст.44 Закона РК «Об архитектурной, градостроительной и строительной деятельности в Республике Казахстан» </w:t>
      </w:r>
      <w:r w:rsidRPr="00FA0B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Комплексные схемы градостроительного планирования территорий должны содержать предложения по установле</w:t>
      </w:r>
      <w:r w:rsidR="00FC4FB9" w:rsidRPr="00F9370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нию границ населенных пунктов в </w:t>
      </w:r>
      <w:r w:rsidRPr="00FA0B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данном регионе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пригородных зон.</w:t>
      </w:r>
    </w:p>
    <w:p w:rsidR="00FA0BC5" w:rsidRPr="00FA0BC5" w:rsidRDefault="00FA0BC5" w:rsidP="00FA0BC5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Также</w:t>
      </w:r>
      <w:r w:rsidR="008B3340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согласно ст. 46 данного Закона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Проекты границ (черты) городов республиканского значения, а также иных городов с численностью населения свыше ста тысяч жителей согласовываются с уполномоченным органом по делам архитектуры, град</w:t>
      </w:r>
      <w:r w:rsidR="008B3340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остроительства и строительства.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Проекты границ (черты) средних и малых городов, поселков го</w:t>
      </w:r>
      <w:r w:rsidR="008B3340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родского типа, а также сельских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населенных пунктов могут разрабатываться и согласовываться в составе генеральных планов указанных населенных пунктов.</w:t>
      </w:r>
    </w:p>
    <w:p w:rsidR="00FA0BC5" w:rsidRPr="00FA0BC5" w:rsidRDefault="00FA0BC5" w:rsidP="00FA0BC5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Стратегией территориального развития Рес</w:t>
      </w:r>
      <w:r w:rsidR="008B3340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публики Казахстан до 2015 года,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утвержденной Указом Президента Республики Ка</w:t>
      </w:r>
      <w:r w:rsidR="008B3340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захстан от 28 августа 2006 года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№ 167, отмечено некоторое несоответствие а</w:t>
      </w:r>
      <w:r w:rsidR="008B3340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дминистративно-территориального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устройства страны современным ус</w:t>
      </w:r>
      <w:r w:rsidR="008B3340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ловиям. В частности, отмечалось </w:t>
      </w:r>
      <w:r w:rsidR="008B3340" w:rsidRPr="00F9370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не соответствие </w:t>
      </w:r>
      <w:r w:rsidRPr="00FA0B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своему статусу по численно</w:t>
      </w:r>
      <w:r w:rsidR="008B3340" w:rsidRPr="00F9370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сти населения (ниже нормы) </w:t>
      </w:r>
      <w:r w:rsidRPr="00FA0B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ряд городов областного и районного значения</w:t>
      </w:r>
      <w:r w:rsidR="008B3340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В </w:t>
      </w:r>
      <w:r w:rsidR="00FC4FB9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этой связи в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границы городов Аксу, Экибастуз Павлодар</w:t>
      </w:r>
      <w:r w:rsidR="008B3340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ской области и города Туркестан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Южно-Казахстанской области включены сельские территории бывших</w:t>
      </w:r>
      <w:r w:rsidR="001E1FB4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20EB2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административных районов</w:t>
      </w:r>
      <w:r w:rsidR="004314D6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[</w:t>
      </w:r>
      <w:r w:rsidR="00D92A5C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4314D6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].</w:t>
      </w:r>
    </w:p>
    <w:p w:rsidR="00FA0BC5" w:rsidRPr="00FA0BC5" w:rsidRDefault="00FA0BC5" w:rsidP="00FA0BC5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резуль</w:t>
      </w:r>
      <w:r w:rsidR="008B3340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тате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реализации данной стратегии</w:t>
      </w:r>
      <w:r w:rsidR="001E1FB4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54EBB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без соблюдения норм законодательства (п.1 ст. 108 Земельного кодекса Республики Казахстан)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Постановления об изменении границ по городам во многих случаях были приняты при отсутствии градостроительной документаци</w:t>
      </w:r>
      <w:r w:rsidR="00FC4FB9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на присоединяемую территорию. </w:t>
      </w:r>
    </w:p>
    <w:p w:rsidR="00FA0BC5" w:rsidRPr="00FA0BC5" w:rsidRDefault="008343F0" w:rsidP="00FA0BC5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Н</w:t>
      </w:r>
      <w:bookmarkStart w:id="0" w:name="_GoBack"/>
      <w:bookmarkEnd w:id="0"/>
      <w:r w:rsidR="00FA0BC5"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сегодняшний ден</w:t>
      </w:r>
      <w:r w:rsidR="008B3340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ь согласно классификатору административно-территориальных объектов </w:t>
      </w:r>
      <w:r w:rsidR="00FA0BC5"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(КАТО) 22 из 35</w:t>
      </w:r>
      <w:r w:rsidR="008B3340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A0BC5"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город</w:t>
      </w:r>
      <w:r w:rsidR="008B3340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ов областного значения являются </w:t>
      </w:r>
      <w:r w:rsidR="008B3340" w:rsidRPr="00F9370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городской </w:t>
      </w:r>
      <w:r w:rsidR="00FA0BC5" w:rsidRPr="00FA0B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администрацией</w:t>
      </w:r>
      <w:r w:rsidR="008B3340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имеющей </w:t>
      </w:r>
      <w:r w:rsidR="00FA0BC5"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подчинении населенные пункты, относящиеся к сельской местности, без однозначного определения границы </w:t>
      </w:r>
      <w:r w:rsidR="008B3340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(черты) городов </w:t>
      </w:r>
      <w:r w:rsidR="00FA0BC5"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согласно нормативным правовым актам.</w:t>
      </w:r>
    </w:p>
    <w:p w:rsidR="00FA0BC5" w:rsidRPr="00FA0BC5" w:rsidRDefault="00FA0BC5" w:rsidP="00FA0BC5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этом административное подчинение некоторых вошли целые районы, включающие сельские округа и сельские населенные пункты. То есть на сегодня в республике существуют</w:t>
      </w:r>
      <w:r w:rsidR="008B3340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A0B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«городские администрации»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площади которых достигают 600-800 тыс.га, к примеру, города-гиганты в части</w:t>
      </w:r>
      <w:r w:rsidR="008B3340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площади Семипалатинск, Балхаш. </w:t>
      </w:r>
    </w:p>
    <w:p w:rsidR="00FA0BC5" w:rsidRPr="00FA0BC5" w:rsidRDefault="00FA0BC5" w:rsidP="00FA0BC5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Следует отметить, что согласно статье 8 Закона «Об административно-территориальном устройстве Респуб</w:t>
      </w:r>
      <w:r w:rsidR="008B3340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лики Казахстан» (далее – Закон)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утрачивают свой статус самостоятельных административно – территориальных единиц и исключаются из учетных данных населенные пункты, включенные в состав городов, поселков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или сел и ставшие их частью, а также поселения, из которых выеха</w:t>
      </w:r>
      <w:r w:rsidR="008B3340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ли или переселились все жители.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Требования данной нормы на практике зачастую не исполняются ме</w:t>
      </w:r>
      <w:r w:rsidR="00986EEF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стными исполнительными органами в целях сохранения сельских льгот, что говорит о не проработанности проектов и некачественном составлении актов научной экспертизы и экономических расчетов по проводимым преобразованиям.</w:t>
      </w:r>
    </w:p>
    <w:p w:rsidR="00FA0BC5" w:rsidRPr="00F93701" w:rsidRDefault="00FA0BC5" w:rsidP="00FA0BC5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Туркестанской области ежегодно происходит изменение границ внутри области и только в 2020 году изменение границ затронуло 161 населенный пункт, а до 1 мая 2021 года 105 населенных пунктов</w:t>
      </w:r>
      <w:r w:rsidR="00E75D12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[</w:t>
      </w:r>
      <w:r w:rsidR="00D92A5C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r w:rsidR="00E75D12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И такие изменения требуют ежегодного изменения кадастрового деления и </w:t>
      </w:r>
      <w:r w:rsidR="001E1FB4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соответственно перевыпуск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идентификационных документов земельных участков. Непрерывные изменения границ в данной области вызывают сомнения в обоснованности и целесообразности таких изменений. При этом МИО во многих случаях не направлялись материалы по изменению границ в Государственную корпорацию «Правительство для граждан».</w:t>
      </w:r>
    </w:p>
    <w:p w:rsidR="004F314A" w:rsidRPr="00F93701" w:rsidRDefault="004F314A" w:rsidP="004F314A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Также следует принимать во внимание изменение границ административных территориальных единиц с учетом проводимой демаркации Государственной границы.</w:t>
      </w:r>
    </w:p>
    <w:p w:rsidR="004F314A" w:rsidRPr="00FA0BC5" w:rsidRDefault="004F314A" w:rsidP="004F314A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Согласно информации Государственной корпорации «Правительство для граждан» за период 2017-2020 годы работы по установлению границ (</w:t>
      </w:r>
      <w:r w:rsidRPr="00F9370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 натуре с определением координат поворотных точек окружных границ</w:t>
      </w:r>
      <w:r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пр</w:t>
      </w:r>
      <w:r w:rsidR="00BE30A1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оведены только по 58,3%</w:t>
      </w:r>
      <w:r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населенных пунктов</w:t>
      </w:r>
      <w:r w:rsidR="004F1E63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[</w:t>
      </w:r>
      <w:r w:rsidR="00D92A5C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  <w:r w:rsidR="004F1E63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</w:t>
      </w:r>
      <w:r w:rsidR="004F1E63"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A0BC5" w:rsidRPr="00FA0BC5" w:rsidRDefault="00FA0BC5" w:rsidP="00FA0BC5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Поскольку изменение границ может вызвать недостоверное кадастровое деление и соответственно кадастровый учет, Минист</w:t>
      </w:r>
      <w:r w:rsidR="009D168C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ерством сельского хозяйства Республики Казахстан были утверждены Правила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составления проек</w:t>
      </w:r>
      <w:r w:rsidR="009D168C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тов по установлению и изменению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границ административно-территориальных единиц, которыми установ</w:t>
      </w:r>
      <w:r w:rsidR="009D168C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лено требование по согласованию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границ с Государственной корпорацией «Правительство для граждан».</w:t>
      </w:r>
    </w:p>
    <w:p w:rsidR="00FA0BC5" w:rsidRPr="00FA0BC5" w:rsidRDefault="00FA0BC5" w:rsidP="000E36E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0BC5" w:rsidRPr="00FA0BC5" w:rsidRDefault="00FA0BC5" w:rsidP="000E36E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9370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Рекомендации</w:t>
      </w:r>
    </w:p>
    <w:p w:rsidR="00FA0BC5" w:rsidRPr="00FA0BC5" w:rsidRDefault="00FA0BC5" w:rsidP="000E36E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основании вышеизложенного, для решения указанных вопросов требуется:</w:t>
      </w:r>
    </w:p>
    <w:p w:rsidR="00FA0BC5" w:rsidRPr="00FA0BC5" w:rsidRDefault="00FA0BC5" w:rsidP="000E36E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 Министерству национальной экономики РК внести изменен</w:t>
      </w:r>
      <w:r w:rsidR="00BE780B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ия в Закон Республики Казахстан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«Об административно-территориальном у</w:t>
      </w:r>
      <w:r w:rsidR="00BE780B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стройстве Республики Казахстан»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части установления, что статус города областного или районного значения с количеством населения ниже установленный нормы может быть придан, в случаях, когда населенный пункт имеет важно стратегическое значение;</w:t>
      </w:r>
    </w:p>
    <w:p w:rsidR="00FA0BC5" w:rsidRPr="00FA0BC5" w:rsidRDefault="00FA0BC5" w:rsidP="000E36E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 Министерству национальной экономики совместно с местными испол</w:t>
      </w:r>
      <w:r w:rsidR="00BE780B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нительными органами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провести анализ на необходимость выделения новых административных единиц (районов), путем выделения их из сост</w:t>
      </w:r>
      <w:r w:rsidR="00BE780B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ава городов областного значения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целях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совершенствования административно-территориального устройства страны;</w:t>
      </w:r>
    </w:p>
    <w:p w:rsidR="00FA0BC5" w:rsidRPr="00FA0BC5" w:rsidRDefault="00FA0BC5" w:rsidP="000E36E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 Министерству Промышленности и строительства совместно с местными исполнительными органами провести анализ на предмет охвата всей территории городов генеральными планами и соответст</w:t>
      </w:r>
      <w:r w:rsidR="00BE780B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вия их черты Комплексным схемам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градостроительного планирования территорий</w:t>
      </w:r>
      <w:r w:rsidR="00BE780B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генеральным планам.</w:t>
      </w:r>
    </w:p>
    <w:p w:rsidR="00FA0BC5" w:rsidRPr="00FA0BC5" w:rsidRDefault="00FA0BC5" w:rsidP="000E36E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 Местным исполнительным орган</w:t>
      </w:r>
      <w:r w:rsidR="00BE780B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ам провести установление границ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(чер</w:t>
      </w:r>
      <w:r w:rsidR="00BE780B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ты) населенных пунктов с учетом Комплексных схем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градостроительного планирования территорий</w:t>
      </w:r>
      <w:r w:rsidR="00BE780B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генеральных планов.</w:t>
      </w:r>
    </w:p>
    <w:p w:rsidR="00FA0BC5" w:rsidRPr="00F93701" w:rsidRDefault="00FA0BC5" w:rsidP="000E36E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 Министерству национальной экономики</w:t>
      </w:r>
      <w:bookmarkStart w:id="1" w:name="m_-1533923605134236443__GoBack"/>
      <w:bookmarkEnd w:id="1"/>
      <w:r w:rsidR="00BE780B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совместно с местными исполнител</w:t>
      </w:r>
      <w:r w:rsidR="00BE780B" w:rsidRPr="00F937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ьными органами провести анализ городов на соответствие требованиям ст. 8 Закона </w:t>
      </w:r>
      <w:r w:rsidRPr="00FA0B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упразднению административных образований, включенных в состав городов.</w:t>
      </w:r>
    </w:p>
    <w:p w:rsidR="00084D74" w:rsidRPr="00F93701" w:rsidRDefault="00084D74" w:rsidP="00FC4F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FC4FB9" w:rsidRPr="00F93701" w:rsidRDefault="00FC4FB9" w:rsidP="00FC4F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9370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EF2293" w:rsidRPr="00F93701" w:rsidRDefault="00EF2293" w:rsidP="00EF229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93701">
        <w:rPr>
          <w:rFonts w:ascii="Arial" w:hAnsi="Arial" w:cs="Arial"/>
          <w:sz w:val="28"/>
          <w:szCs w:val="28"/>
        </w:rPr>
        <w:t xml:space="preserve">«Об изменении границ города Алматы» Указ Президента Республики Казахстан от 21 сентября 2012 года № 385. </w:t>
      </w:r>
      <w:hyperlink r:id="rId8" w:history="1">
        <w:r w:rsidR="00087767" w:rsidRPr="00F93701">
          <w:rPr>
            <w:rStyle w:val="a9"/>
            <w:rFonts w:ascii="Arial" w:hAnsi="Arial" w:cs="Arial"/>
            <w:sz w:val="28"/>
            <w:szCs w:val="28"/>
          </w:rPr>
          <w:t>https://adilet.zan.kz/rus/docs/U1200000385</w:t>
        </w:r>
      </w:hyperlink>
    </w:p>
    <w:p w:rsidR="00087767" w:rsidRPr="00F93701" w:rsidRDefault="00087767" w:rsidP="0008776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93701">
        <w:rPr>
          <w:rFonts w:ascii="Arial" w:hAnsi="Arial" w:cs="Arial"/>
          <w:sz w:val="28"/>
          <w:szCs w:val="28"/>
        </w:rPr>
        <w:t>«О Генеральном плане города Алматы (включая основные положения)» Постановление Правительства Республики Казахстан от 3 мая 2023 года № 349.</w:t>
      </w:r>
      <w:r w:rsidRPr="00F93701">
        <w:rPr>
          <w:rFonts w:ascii="Arial" w:hAnsi="Arial" w:cs="Arial"/>
        </w:rPr>
        <w:t xml:space="preserve"> </w:t>
      </w:r>
      <w:r w:rsidRPr="00F93701">
        <w:rPr>
          <w:rFonts w:ascii="Arial" w:hAnsi="Arial" w:cs="Arial"/>
          <w:sz w:val="28"/>
          <w:szCs w:val="28"/>
        </w:rPr>
        <w:t>https://adilet.zan.kz/rus/docs/P2300000349</w:t>
      </w:r>
    </w:p>
    <w:p w:rsidR="00FA0BC5" w:rsidRPr="00F93701" w:rsidRDefault="004314D6" w:rsidP="004314D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93701">
        <w:rPr>
          <w:rFonts w:ascii="Arial" w:hAnsi="Arial" w:cs="Arial"/>
          <w:sz w:val="28"/>
          <w:szCs w:val="28"/>
        </w:rPr>
        <w:t>«Сводный аналитический отчет о состоянии и использовании земель Республики Казахстан за 2008 год». Комитет по управлению земельными ресурсами Министерства сельского хозяйства Республики Казахстан, г. Астана, 2008 г.</w:t>
      </w:r>
    </w:p>
    <w:p w:rsidR="00E75D12" w:rsidRPr="00F93701" w:rsidRDefault="00E75D12" w:rsidP="00E75D1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93701">
        <w:rPr>
          <w:rFonts w:ascii="Arial" w:hAnsi="Arial" w:cs="Arial"/>
          <w:sz w:val="28"/>
          <w:szCs w:val="28"/>
        </w:rPr>
        <w:t xml:space="preserve">Информация Комитета по управлению </w:t>
      </w:r>
      <w:r w:rsidR="006C225A" w:rsidRPr="00F93701">
        <w:rPr>
          <w:rFonts w:ascii="Arial" w:hAnsi="Arial" w:cs="Arial"/>
          <w:sz w:val="28"/>
          <w:szCs w:val="28"/>
        </w:rPr>
        <w:t>земельными</w:t>
      </w:r>
      <w:r w:rsidRPr="00F93701">
        <w:rPr>
          <w:rFonts w:ascii="Arial" w:hAnsi="Arial" w:cs="Arial"/>
          <w:sz w:val="28"/>
          <w:szCs w:val="28"/>
        </w:rPr>
        <w:t xml:space="preserve"> ресурсами Министерства сельского хозяйства Республики </w:t>
      </w:r>
      <w:r w:rsidR="006C225A" w:rsidRPr="00F93701">
        <w:rPr>
          <w:rFonts w:ascii="Arial" w:hAnsi="Arial" w:cs="Arial"/>
          <w:sz w:val="28"/>
          <w:szCs w:val="28"/>
        </w:rPr>
        <w:t>Казахстан</w:t>
      </w:r>
      <w:r w:rsidRPr="00F93701">
        <w:rPr>
          <w:rFonts w:ascii="Arial" w:hAnsi="Arial" w:cs="Arial"/>
          <w:sz w:val="28"/>
          <w:szCs w:val="28"/>
        </w:rPr>
        <w:t xml:space="preserve"> на основании данных </w:t>
      </w:r>
      <w:hyperlink r:id="rId9" w:history="1">
        <w:r w:rsidR="00941CFE" w:rsidRPr="00F93701">
          <w:rPr>
            <w:rStyle w:val="a9"/>
            <w:rFonts w:ascii="Arial" w:hAnsi="Arial" w:cs="Arial"/>
            <w:sz w:val="28"/>
            <w:szCs w:val="28"/>
          </w:rPr>
          <w:t>https://adilet.zan.kz</w:t>
        </w:r>
      </w:hyperlink>
    </w:p>
    <w:p w:rsidR="00941CFE" w:rsidRPr="00F93701" w:rsidRDefault="00941CFE" w:rsidP="00941CF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93701">
        <w:rPr>
          <w:rFonts w:ascii="Arial" w:hAnsi="Arial" w:cs="Arial"/>
          <w:sz w:val="28"/>
          <w:szCs w:val="28"/>
        </w:rPr>
        <w:t>Информация Комитета по управлению земельными ресурсами Министерства сельского хозяйства Республики Казахстан</w:t>
      </w:r>
    </w:p>
    <w:sectPr w:rsidR="00941CFE" w:rsidRPr="00F9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18" w:rsidRDefault="00CD3018" w:rsidP="00020EB2">
      <w:pPr>
        <w:spacing w:after="0" w:line="240" w:lineRule="auto"/>
      </w:pPr>
      <w:r>
        <w:separator/>
      </w:r>
    </w:p>
  </w:endnote>
  <w:endnote w:type="continuationSeparator" w:id="0">
    <w:p w:rsidR="00CD3018" w:rsidRDefault="00CD3018" w:rsidP="00020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18" w:rsidRDefault="00CD3018" w:rsidP="00020EB2">
      <w:pPr>
        <w:spacing w:after="0" w:line="240" w:lineRule="auto"/>
      </w:pPr>
      <w:r>
        <w:separator/>
      </w:r>
    </w:p>
  </w:footnote>
  <w:footnote w:type="continuationSeparator" w:id="0">
    <w:p w:rsidR="00CD3018" w:rsidRDefault="00CD3018" w:rsidP="00020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20C4"/>
    <w:multiLevelType w:val="hybridMultilevel"/>
    <w:tmpl w:val="784A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48"/>
    <w:rsid w:val="00020EB2"/>
    <w:rsid w:val="00084D74"/>
    <w:rsid w:val="00087767"/>
    <w:rsid w:val="000E36EB"/>
    <w:rsid w:val="0014582E"/>
    <w:rsid w:val="00181169"/>
    <w:rsid w:val="001C6248"/>
    <w:rsid w:val="001D3389"/>
    <w:rsid w:val="001E1FB4"/>
    <w:rsid w:val="002D46FB"/>
    <w:rsid w:val="003D25CF"/>
    <w:rsid w:val="004314D6"/>
    <w:rsid w:val="004F1E63"/>
    <w:rsid w:val="004F314A"/>
    <w:rsid w:val="00667BB4"/>
    <w:rsid w:val="006C225A"/>
    <w:rsid w:val="00711F7E"/>
    <w:rsid w:val="007768C1"/>
    <w:rsid w:val="00800384"/>
    <w:rsid w:val="008343F0"/>
    <w:rsid w:val="008B3340"/>
    <w:rsid w:val="00914002"/>
    <w:rsid w:val="00941CFE"/>
    <w:rsid w:val="00986EEF"/>
    <w:rsid w:val="009C7DC7"/>
    <w:rsid w:val="009D168C"/>
    <w:rsid w:val="00A95E73"/>
    <w:rsid w:val="00BE30A1"/>
    <w:rsid w:val="00BE780B"/>
    <w:rsid w:val="00C577B9"/>
    <w:rsid w:val="00C6695A"/>
    <w:rsid w:val="00CD3018"/>
    <w:rsid w:val="00D54EBB"/>
    <w:rsid w:val="00D92A5C"/>
    <w:rsid w:val="00DA36F1"/>
    <w:rsid w:val="00DE1ABA"/>
    <w:rsid w:val="00E371A4"/>
    <w:rsid w:val="00E75D12"/>
    <w:rsid w:val="00EF2293"/>
    <w:rsid w:val="00F842A0"/>
    <w:rsid w:val="00F93701"/>
    <w:rsid w:val="00FA0BC5"/>
    <w:rsid w:val="00FC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FADB"/>
  <w15:chartTrackingRefBased/>
  <w15:docId w15:val="{07D916B7-67FD-41D9-82A9-A19482DA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0E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Bibliography"/>
    <w:basedOn w:val="a"/>
    <w:next w:val="a"/>
    <w:uiPriority w:val="37"/>
    <w:unhideWhenUsed/>
    <w:rsid w:val="00020EB2"/>
  </w:style>
  <w:style w:type="paragraph" w:styleId="a5">
    <w:name w:val="endnote text"/>
    <w:basedOn w:val="a"/>
    <w:link w:val="a6"/>
    <w:uiPriority w:val="99"/>
    <w:semiHidden/>
    <w:unhideWhenUsed/>
    <w:rsid w:val="00020EB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20EB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20EB2"/>
    <w:rPr>
      <w:vertAlign w:val="superscript"/>
    </w:rPr>
  </w:style>
  <w:style w:type="paragraph" w:styleId="a8">
    <w:name w:val="List Paragraph"/>
    <w:basedOn w:val="a"/>
    <w:uiPriority w:val="34"/>
    <w:qFormat/>
    <w:rsid w:val="004314D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41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85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6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3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4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U12000003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Ком08</b:Tag>
    <b:SourceType>Report</b:SourceType>
    <b:Guid>{AE32B8A3-6E11-4E87-87B8-EFDA9C1EC11C}</b:Guid>
    <b:Title>Сводный аналитический отчет о состоянии и использовании земель Республики Казахстан</b:Title>
    <b:Year>2008</b:Year>
    <b:City>Астана</b:City>
    <b:Author>
      <b:Author>
        <b:Corporate>Комитет по управлению земельными ресурсами Министерства сельского хозяйства Республики Казахстан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63F6ACC-9013-4BA0-8F28-83291201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Слушатель</cp:lastModifiedBy>
  <cp:revision>38</cp:revision>
  <dcterms:created xsi:type="dcterms:W3CDTF">2024-02-13T04:24:00Z</dcterms:created>
  <dcterms:modified xsi:type="dcterms:W3CDTF">2024-02-13T05:52:00Z</dcterms:modified>
</cp:coreProperties>
</file>